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16A9" w14:textId="707EA5FA" w:rsidR="00656EE7" w:rsidRPr="00B53A40" w:rsidRDefault="00344713" w:rsidP="00C22B29">
      <w:pPr>
        <w:spacing w:after="0"/>
        <w:contextualSpacing/>
        <w:rPr>
          <w:rFonts w:ascii="Arial" w:hAnsi="Arial" w:cs="Arial"/>
          <w:b/>
          <w:sz w:val="24"/>
          <w:szCs w:val="24"/>
          <w:lang w:val="en-US" w:eastAsia="zh-CN"/>
        </w:rPr>
      </w:pPr>
      <w:r w:rsidRPr="00B53A40">
        <w:rPr>
          <w:rFonts w:ascii="Arial" w:hAnsi="Arial" w:cs="Arial"/>
          <w:b/>
          <w:sz w:val="24"/>
          <w:szCs w:val="24"/>
          <w:lang w:val="en-US" w:eastAsia="zh-CN"/>
        </w:rPr>
        <w:t>3GPP TSG-RAN</w:t>
      </w:r>
      <w:r w:rsidR="00C22B29" w:rsidRPr="00B53A40">
        <w:rPr>
          <w:rFonts w:ascii="Arial" w:hAnsi="Arial" w:cs="Arial"/>
          <w:b/>
          <w:sz w:val="24"/>
          <w:szCs w:val="24"/>
          <w:lang w:val="en-US" w:eastAsia="zh-CN"/>
        </w:rPr>
        <w:t xml:space="preserve"> WG4 </w:t>
      </w:r>
      <w:r w:rsidRPr="00B53A40">
        <w:rPr>
          <w:rFonts w:ascii="Arial" w:hAnsi="Arial" w:cs="Arial"/>
          <w:b/>
          <w:sz w:val="24"/>
          <w:szCs w:val="24"/>
          <w:lang w:val="en-US" w:eastAsia="zh-CN"/>
        </w:rPr>
        <w:t>Meeting #</w:t>
      </w:r>
      <w:r w:rsidR="00C22B29" w:rsidRPr="00B53A40">
        <w:rPr>
          <w:rFonts w:ascii="Arial" w:hAnsi="Arial" w:cs="Arial"/>
          <w:b/>
          <w:sz w:val="24"/>
          <w:szCs w:val="24"/>
          <w:lang w:val="en-US" w:eastAsia="zh-CN"/>
        </w:rPr>
        <w:t>9</w:t>
      </w:r>
      <w:r w:rsidR="00B20214">
        <w:rPr>
          <w:rFonts w:ascii="Arial" w:hAnsi="Arial" w:cs="Arial"/>
          <w:b/>
          <w:sz w:val="24"/>
          <w:szCs w:val="24"/>
          <w:lang w:val="en-US" w:eastAsia="zh-CN"/>
        </w:rPr>
        <w:t>8</w:t>
      </w:r>
      <w:r w:rsidRPr="00B53A40">
        <w:rPr>
          <w:rFonts w:ascii="Arial" w:hAnsi="Arial" w:cs="Arial"/>
          <w:b/>
          <w:sz w:val="24"/>
          <w:szCs w:val="24"/>
          <w:lang w:val="en-US" w:eastAsia="zh-CN"/>
        </w:rPr>
        <w:t xml:space="preserve">e </w:t>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t xml:space="preserve">   </w:t>
      </w:r>
      <w:r w:rsidR="003655BC" w:rsidRPr="00B53A40">
        <w:rPr>
          <w:rFonts w:ascii="Arial" w:hAnsi="Arial" w:cs="Arial"/>
          <w:b/>
          <w:sz w:val="24"/>
          <w:szCs w:val="24"/>
          <w:lang w:val="en-US" w:eastAsia="zh-CN"/>
        </w:rPr>
        <w:tab/>
      </w:r>
      <w:r w:rsidR="003655BC" w:rsidRPr="00B53A40">
        <w:rPr>
          <w:rFonts w:ascii="Arial" w:hAnsi="Arial" w:cs="Arial"/>
          <w:b/>
          <w:sz w:val="24"/>
          <w:szCs w:val="24"/>
          <w:lang w:val="en-US" w:eastAsia="zh-CN"/>
        </w:rPr>
        <w:tab/>
      </w:r>
      <w:r w:rsidR="003655BC" w:rsidRPr="00B53A40">
        <w:rPr>
          <w:rFonts w:ascii="Arial" w:hAnsi="Arial" w:cs="Arial"/>
          <w:b/>
          <w:sz w:val="24"/>
          <w:szCs w:val="24"/>
          <w:lang w:val="en-US" w:eastAsia="zh-CN"/>
        </w:rPr>
        <w:tab/>
      </w:r>
      <w:r w:rsidR="003655BC" w:rsidRPr="00B53A40">
        <w:rPr>
          <w:rFonts w:ascii="Arial" w:hAnsi="Arial" w:cs="Arial"/>
          <w:b/>
          <w:sz w:val="24"/>
          <w:szCs w:val="24"/>
          <w:lang w:val="en-US" w:eastAsia="zh-CN"/>
        </w:rPr>
        <w:tab/>
      </w:r>
      <w:r w:rsidRPr="004C2B54">
        <w:rPr>
          <w:rFonts w:ascii="Arial" w:hAnsi="Arial" w:cs="Arial"/>
          <w:b/>
          <w:sz w:val="24"/>
          <w:szCs w:val="24"/>
          <w:lang w:val="en-US" w:eastAsia="zh-CN"/>
        </w:rPr>
        <w:t>R</w:t>
      </w:r>
      <w:r w:rsidR="00C22B29" w:rsidRPr="004C2B54">
        <w:rPr>
          <w:rFonts w:ascii="Arial" w:hAnsi="Arial" w:cs="Arial"/>
          <w:b/>
          <w:sz w:val="24"/>
          <w:szCs w:val="24"/>
          <w:lang w:val="en-US" w:eastAsia="zh-CN"/>
        </w:rPr>
        <w:t>4</w:t>
      </w:r>
      <w:r w:rsidRPr="004C2B54">
        <w:rPr>
          <w:rFonts w:ascii="Arial" w:hAnsi="Arial" w:cs="Arial"/>
          <w:b/>
          <w:sz w:val="24"/>
          <w:szCs w:val="24"/>
          <w:lang w:val="en-US" w:eastAsia="zh-CN"/>
        </w:rPr>
        <w:t>-2</w:t>
      </w:r>
      <w:r w:rsidR="00612AFA" w:rsidRPr="00B42DBD">
        <w:rPr>
          <w:rFonts w:ascii="Arial" w:hAnsi="Arial" w:cs="Arial"/>
          <w:b/>
          <w:sz w:val="24"/>
          <w:szCs w:val="24"/>
          <w:lang w:val="en-US" w:eastAsia="zh-CN"/>
        </w:rPr>
        <w:t>10</w:t>
      </w:r>
      <w:r w:rsidR="00B42DBD" w:rsidRPr="00B42DBD">
        <w:rPr>
          <w:rFonts w:ascii="Arial" w:hAnsi="Arial" w:cs="Arial"/>
          <w:b/>
          <w:sz w:val="24"/>
          <w:szCs w:val="24"/>
          <w:lang w:val="en-US" w:eastAsia="zh-CN"/>
        </w:rPr>
        <w:t>2006</w:t>
      </w:r>
      <w:r w:rsidR="00C22B29" w:rsidRPr="00B53A40">
        <w:rPr>
          <w:rFonts w:ascii="Arial" w:hAnsi="Arial" w:cs="Arial"/>
          <w:b/>
          <w:sz w:val="24"/>
          <w:szCs w:val="24"/>
          <w:lang w:val="en-US" w:eastAsia="zh-CN"/>
        </w:rPr>
        <w:t xml:space="preserve"> </w:t>
      </w:r>
      <w:r w:rsidRPr="00B53A40">
        <w:rPr>
          <w:rFonts w:ascii="Arial" w:hAnsi="Arial" w:cs="Arial"/>
          <w:b/>
          <w:sz w:val="24"/>
          <w:szCs w:val="24"/>
          <w:lang w:val="en-US" w:eastAsia="zh-CN"/>
        </w:rPr>
        <w:t xml:space="preserve">Electronic Meeting, </w:t>
      </w:r>
      <w:r w:rsidR="00612AFA">
        <w:rPr>
          <w:rFonts w:ascii="Arial" w:hAnsi="Arial" w:cs="Arial"/>
          <w:b/>
          <w:sz w:val="24"/>
          <w:szCs w:val="24"/>
          <w:lang w:val="en-US" w:eastAsia="zh-CN"/>
        </w:rPr>
        <w:t>January 25</w:t>
      </w:r>
      <w:r w:rsidR="00612AFA" w:rsidRPr="00612AFA">
        <w:rPr>
          <w:rFonts w:ascii="Arial" w:hAnsi="Arial" w:cs="Arial"/>
          <w:b/>
          <w:sz w:val="24"/>
          <w:szCs w:val="24"/>
          <w:vertAlign w:val="superscript"/>
          <w:lang w:val="en-US" w:eastAsia="zh-CN"/>
        </w:rPr>
        <w:t>th</w:t>
      </w:r>
      <w:r w:rsidR="00612AFA">
        <w:rPr>
          <w:rFonts w:ascii="Arial" w:hAnsi="Arial" w:cs="Arial"/>
          <w:b/>
          <w:sz w:val="24"/>
          <w:szCs w:val="24"/>
          <w:lang w:val="en-US" w:eastAsia="zh-CN"/>
        </w:rPr>
        <w:t xml:space="preserve"> – Feb 5</w:t>
      </w:r>
      <w:r w:rsidR="00612AFA" w:rsidRPr="00612AFA">
        <w:rPr>
          <w:rFonts w:ascii="Arial" w:hAnsi="Arial" w:cs="Arial"/>
          <w:b/>
          <w:sz w:val="24"/>
          <w:szCs w:val="24"/>
          <w:vertAlign w:val="superscript"/>
          <w:lang w:val="en-US" w:eastAsia="zh-CN"/>
        </w:rPr>
        <w:t>th</w:t>
      </w:r>
      <w:r w:rsidRPr="00B53A40">
        <w:rPr>
          <w:rFonts w:ascii="Arial" w:hAnsi="Arial" w:cs="Arial"/>
          <w:b/>
          <w:sz w:val="24"/>
          <w:szCs w:val="24"/>
          <w:lang w:val="en-US" w:eastAsia="zh-CN"/>
        </w:rPr>
        <w:t>, 202</w:t>
      </w:r>
      <w:r w:rsidR="00612AFA">
        <w:rPr>
          <w:rFonts w:ascii="Arial" w:hAnsi="Arial" w:cs="Arial"/>
          <w:b/>
          <w:sz w:val="24"/>
          <w:szCs w:val="24"/>
          <w:lang w:val="en-US" w:eastAsia="zh-CN"/>
        </w:rPr>
        <w:t>1</w:t>
      </w:r>
    </w:p>
    <w:p w14:paraId="798321A4" w14:textId="77777777" w:rsidR="00656EE7" w:rsidRPr="00B53A40" w:rsidRDefault="00656EE7">
      <w:pPr>
        <w:spacing w:after="120"/>
        <w:ind w:left="1985" w:hanging="1985"/>
        <w:rPr>
          <w:rFonts w:ascii="Arial" w:eastAsia="MS Mincho" w:hAnsi="Arial" w:cs="Arial"/>
          <w:b/>
          <w:sz w:val="22"/>
          <w:lang w:val="en-US"/>
        </w:rPr>
      </w:pPr>
    </w:p>
    <w:p w14:paraId="36AE7F06" w14:textId="73B3C0E1" w:rsidR="00656EE7" w:rsidRPr="00B53A40"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sidRPr="00B53A40">
        <w:rPr>
          <w:rFonts w:ascii="Arial" w:eastAsia="MS Mincho" w:hAnsi="Arial" w:cs="Arial"/>
          <w:b/>
          <w:color w:val="000000"/>
          <w:sz w:val="22"/>
          <w:lang w:val="en-US"/>
        </w:rPr>
        <w:t>Agenda item:</w:t>
      </w:r>
      <w:r w:rsidRPr="00B53A40">
        <w:rPr>
          <w:rFonts w:ascii="Arial" w:eastAsia="MS Mincho" w:hAnsi="Arial" w:cs="Arial"/>
          <w:b/>
          <w:color w:val="000000"/>
          <w:sz w:val="22"/>
          <w:lang w:val="en-US"/>
        </w:rPr>
        <w:tab/>
      </w:r>
      <w:r w:rsidRPr="00B53A40">
        <w:rPr>
          <w:rFonts w:ascii="Arial" w:eastAsia="MS Mincho" w:hAnsi="Arial" w:cs="Arial"/>
          <w:b/>
          <w:color w:val="000000"/>
          <w:sz w:val="22"/>
          <w:lang w:val="en-US" w:eastAsia="ja-JP"/>
        </w:rPr>
        <w:tab/>
      </w:r>
      <w:r w:rsidRPr="00B53A40">
        <w:rPr>
          <w:rFonts w:ascii="Arial" w:eastAsia="MS Mincho" w:hAnsi="Arial" w:cs="Arial"/>
          <w:b/>
          <w:color w:val="000000"/>
          <w:sz w:val="22"/>
          <w:lang w:val="en-US" w:eastAsia="ja-JP"/>
        </w:rPr>
        <w:tab/>
      </w:r>
      <w:r w:rsidR="00164CE9">
        <w:rPr>
          <w:rFonts w:ascii="Arial" w:eastAsia="MS Mincho" w:hAnsi="Arial" w:cs="Arial"/>
          <w:bCs/>
          <w:color w:val="000000"/>
          <w:sz w:val="22"/>
          <w:lang w:val="en-US" w:eastAsia="ja-JP"/>
        </w:rPr>
        <w:t>12.2.1.1</w:t>
      </w:r>
    </w:p>
    <w:p w14:paraId="5F4BD920" w14:textId="669A6165" w:rsidR="00656EE7" w:rsidRPr="00B53A40" w:rsidRDefault="00344713">
      <w:pPr>
        <w:spacing w:after="120"/>
        <w:ind w:left="1985" w:hanging="1985"/>
        <w:rPr>
          <w:rFonts w:ascii="Arial" w:hAnsi="Arial" w:cs="Arial"/>
          <w:color w:val="000000"/>
          <w:sz w:val="22"/>
          <w:lang w:val="en-US" w:eastAsia="zh-CN"/>
        </w:rPr>
      </w:pPr>
      <w:r w:rsidRPr="00B53A40">
        <w:rPr>
          <w:rFonts w:ascii="Arial" w:eastAsia="MS Mincho" w:hAnsi="Arial" w:cs="Arial"/>
          <w:b/>
          <w:sz w:val="22"/>
          <w:lang w:val="en-US"/>
        </w:rPr>
        <w:t>Source:</w:t>
      </w:r>
      <w:r w:rsidRPr="00B53A40">
        <w:rPr>
          <w:rFonts w:ascii="Arial" w:eastAsia="MS Mincho" w:hAnsi="Arial" w:cs="Arial"/>
          <w:b/>
          <w:sz w:val="22"/>
          <w:lang w:val="en-US"/>
        </w:rPr>
        <w:tab/>
      </w:r>
      <w:r w:rsidR="00C22B29" w:rsidRPr="00B53A40">
        <w:rPr>
          <w:rFonts w:ascii="Arial" w:hAnsi="Arial" w:cs="Arial"/>
          <w:color w:val="000000"/>
          <w:sz w:val="22"/>
          <w:lang w:val="en-US" w:eastAsia="zh-CN"/>
        </w:rPr>
        <w:t>Nokia, Nokia Shanghai Bell</w:t>
      </w:r>
    </w:p>
    <w:p w14:paraId="7BD5998E" w14:textId="7111971C" w:rsidR="00656EE7" w:rsidRPr="00B53A40" w:rsidRDefault="00344713">
      <w:pPr>
        <w:spacing w:after="120"/>
        <w:ind w:left="1985" w:hanging="1985"/>
        <w:rPr>
          <w:rFonts w:ascii="Arial" w:hAnsi="Arial" w:cs="Arial"/>
          <w:color w:val="000000"/>
          <w:sz w:val="22"/>
          <w:lang w:val="en-US" w:eastAsia="zh-CN"/>
        </w:rPr>
      </w:pPr>
      <w:r w:rsidRPr="00B53A40">
        <w:rPr>
          <w:rFonts w:ascii="Arial" w:eastAsia="MS Mincho" w:hAnsi="Arial" w:cs="Arial"/>
          <w:b/>
          <w:color w:val="000000"/>
          <w:sz w:val="22"/>
          <w:lang w:val="en-US"/>
        </w:rPr>
        <w:t>Title:</w:t>
      </w:r>
      <w:r w:rsidRPr="00B53A40">
        <w:rPr>
          <w:rFonts w:ascii="Arial" w:eastAsia="MS Mincho" w:hAnsi="Arial" w:cs="Arial"/>
          <w:b/>
          <w:color w:val="000000"/>
          <w:sz w:val="22"/>
          <w:lang w:val="en-US"/>
        </w:rPr>
        <w:tab/>
      </w:r>
      <w:r w:rsidR="00504688" w:rsidRPr="00B53A40">
        <w:rPr>
          <w:rFonts w:ascii="Arial" w:hAnsi="Arial" w:cs="Arial"/>
          <w:color w:val="000000"/>
          <w:sz w:val="22"/>
          <w:lang w:val="en-US" w:eastAsia="zh-CN"/>
        </w:rPr>
        <w:t>Numerology and channel bandwidth discussion for NR beyond 52.6 GHz</w:t>
      </w:r>
    </w:p>
    <w:p w14:paraId="4C70E33B" w14:textId="433E9F04" w:rsidR="00656EE7" w:rsidRPr="00B53A40" w:rsidRDefault="00344713">
      <w:pPr>
        <w:spacing w:after="120"/>
        <w:ind w:left="1985" w:hanging="1985"/>
        <w:rPr>
          <w:rFonts w:ascii="Arial" w:hAnsi="Arial" w:cs="Arial"/>
          <w:sz w:val="22"/>
          <w:lang w:val="en-US" w:eastAsia="zh-CN"/>
        </w:rPr>
      </w:pPr>
      <w:r w:rsidRPr="00B53A40">
        <w:rPr>
          <w:rFonts w:ascii="Arial" w:eastAsia="MS Mincho" w:hAnsi="Arial" w:cs="Arial"/>
          <w:b/>
          <w:color w:val="000000"/>
          <w:sz w:val="22"/>
          <w:lang w:val="en-US"/>
        </w:rPr>
        <w:t>Document for:</w:t>
      </w:r>
      <w:r w:rsidRPr="00B53A40">
        <w:rPr>
          <w:rFonts w:ascii="Arial" w:eastAsia="MS Mincho" w:hAnsi="Arial" w:cs="Arial"/>
          <w:b/>
          <w:color w:val="000000"/>
          <w:sz w:val="22"/>
          <w:lang w:val="en-US"/>
        </w:rPr>
        <w:tab/>
      </w:r>
      <w:r w:rsidR="00C22B29" w:rsidRPr="00B53A40">
        <w:rPr>
          <w:rFonts w:ascii="Arial" w:hAnsi="Arial" w:cs="Arial"/>
          <w:color w:val="000000"/>
          <w:sz w:val="22"/>
          <w:lang w:val="en-US" w:eastAsia="zh-CN"/>
        </w:rPr>
        <w:t>Approval</w:t>
      </w:r>
    </w:p>
    <w:p w14:paraId="21CA3802" w14:textId="77777777" w:rsidR="00656EE7" w:rsidRPr="00B53A40" w:rsidRDefault="00344713" w:rsidP="00065A7B">
      <w:pPr>
        <w:pStyle w:val="Heading1"/>
        <w:rPr>
          <w:lang w:val="en-US" w:eastAsia="zh-CN"/>
        </w:rPr>
      </w:pPr>
      <w:r w:rsidRPr="00B53A40">
        <w:rPr>
          <w:lang w:val="en-US" w:eastAsia="ja-JP"/>
        </w:rPr>
        <w:t>Introduction</w:t>
      </w:r>
    </w:p>
    <w:p w14:paraId="29CC0571" w14:textId="014BDA6B" w:rsidR="00E74969" w:rsidRPr="00B53A40" w:rsidRDefault="00E74969" w:rsidP="00E74969">
      <w:pPr>
        <w:rPr>
          <w:lang w:val="en-US"/>
        </w:rPr>
      </w:pPr>
      <w:r w:rsidRPr="00B53A40">
        <w:rPr>
          <w:lang w:val="en-US"/>
        </w:rPr>
        <w:t xml:space="preserve">The study item on supporting NR from 52.6 GHz to 71 GHz </w:t>
      </w:r>
      <w:r w:rsidRPr="00B53A40">
        <w:rPr>
          <w:lang w:val="en-US"/>
        </w:rPr>
        <w:fldChar w:fldCharType="begin"/>
      </w:r>
      <w:r w:rsidRPr="00B53A40">
        <w:rPr>
          <w:lang w:val="en-US"/>
        </w:rPr>
        <w:instrText xml:space="preserve"> REF _Ref31097917 \n \h  \* MERGEFORMAT </w:instrText>
      </w:r>
      <w:r w:rsidRPr="00B53A40">
        <w:rPr>
          <w:lang w:val="en-US"/>
        </w:rPr>
      </w:r>
      <w:r w:rsidRPr="00B53A40">
        <w:rPr>
          <w:lang w:val="en-US"/>
        </w:rPr>
        <w:fldChar w:fldCharType="separate"/>
      </w:r>
      <w:r w:rsidR="00A0307E">
        <w:rPr>
          <w:lang w:val="en-US"/>
        </w:rPr>
        <w:t>[1]</w:t>
      </w:r>
      <w:r w:rsidRPr="00B53A40">
        <w:rPr>
          <w:lang w:val="en-US"/>
        </w:rPr>
        <w:fldChar w:fldCharType="end"/>
      </w:r>
      <w:r w:rsidRPr="00B53A40">
        <w:rPr>
          <w:lang w:val="en-US"/>
        </w:rPr>
        <w:t xml:space="preserve"> was approved at RAN#86. Before that, 3GPP RAN studied requirements for NR beyond 52.6GHz up to 114.25GHz, potential use cases and deployment scenarios, and NR system design requirements and considerations on top of regulatory requirements </w:t>
      </w:r>
      <w:r w:rsidRPr="00B53A40">
        <w:rPr>
          <w:lang w:val="en-US"/>
        </w:rPr>
        <w:fldChar w:fldCharType="begin"/>
      </w:r>
      <w:r w:rsidRPr="00B53A40">
        <w:rPr>
          <w:lang w:val="en-US"/>
        </w:rPr>
        <w:instrText xml:space="preserve"> REF _Ref31097951 \n \h  \* MERGEFORMAT </w:instrText>
      </w:r>
      <w:r w:rsidRPr="00B53A40">
        <w:rPr>
          <w:lang w:val="en-US"/>
        </w:rPr>
      </w:r>
      <w:r w:rsidRPr="00B53A40">
        <w:rPr>
          <w:lang w:val="en-US"/>
        </w:rPr>
        <w:fldChar w:fldCharType="separate"/>
      </w:r>
      <w:r w:rsidR="00A0307E">
        <w:rPr>
          <w:lang w:val="en-US"/>
        </w:rPr>
        <w:t>[2]</w:t>
      </w:r>
      <w:r w:rsidRPr="00B53A40">
        <w:rPr>
          <w:lang w:val="en-US"/>
        </w:rPr>
        <w:fldChar w:fldCharType="end"/>
      </w:r>
      <w:r w:rsidRPr="00B53A40">
        <w:rPr>
          <w:lang w:val="en-US"/>
        </w:rPr>
        <w:t xml:space="preserve">. </w:t>
      </w:r>
      <w:r w:rsidR="00CA57A0">
        <w:rPr>
          <w:lang w:val="en-US"/>
        </w:rPr>
        <w:t xml:space="preserve">The revised work item on supporting NR from 52.6 GHz to 71 GHz was approved at RAN#90-e [3]. </w:t>
      </w:r>
    </w:p>
    <w:p w14:paraId="12F976AD" w14:textId="1BA6314E" w:rsidR="00E74969" w:rsidRPr="00B53A40" w:rsidRDefault="00E74969" w:rsidP="00E74969">
      <w:pPr>
        <w:rPr>
          <w:lang w:val="en-US"/>
        </w:rPr>
      </w:pPr>
      <w:r w:rsidRPr="00B53A40">
        <w:rPr>
          <w:lang w:val="en-US"/>
        </w:rPr>
        <w:t xml:space="preserve">This contribution deals with required changes to NR using existing DL/UL NR waveform to support operation between 52.6 GHz and 71 GHz. More specifically, we consider the following objectives of the approved study item: </w:t>
      </w:r>
    </w:p>
    <w:p w14:paraId="074A8E49" w14:textId="684504D9" w:rsidR="00E74969" w:rsidRPr="00B53A40" w:rsidRDefault="00E74969" w:rsidP="00E74969">
      <w:pPr>
        <w:pStyle w:val="ListParagraph"/>
        <w:numPr>
          <w:ilvl w:val="0"/>
          <w:numId w:val="18"/>
        </w:numPr>
        <w:overflowPunct/>
        <w:autoSpaceDE/>
        <w:autoSpaceDN/>
        <w:adjustRightInd/>
        <w:spacing w:after="0" w:line="259" w:lineRule="auto"/>
        <w:ind w:firstLineChars="0"/>
        <w:contextualSpacing/>
        <w:textAlignment w:val="auto"/>
        <w:rPr>
          <w:i/>
          <w:sz w:val="18"/>
          <w:lang w:val="en-US"/>
        </w:rPr>
      </w:pPr>
      <w:r w:rsidRPr="00B53A40">
        <w:rPr>
          <w:i/>
          <w:sz w:val="18"/>
          <w:lang w:val="en-US"/>
        </w:rPr>
        <w:t>Study of applicable numerology including subcarrier spacing, channel BW (including maximum BW), and their impact to FR2 physical layer design to support system functionality considering practical RF impairments [RAN1, RAN4].</w:t>
      </w:r>
    </w:p>
    <w:p w14:paraId="27A7A54E" w14:textId="74417229" w:rsidR="007B1131" w:rsidRPr="00B53A40" w:rsidRDefault="00F84D8E" w:rsidP="00F84D8E">
      <w:pPr>
        <w:pStyle w:val="Heading1"/>
        <w:rPr>
          <w:lang w:val="en-US" w:eastAsia="zh-CN"/>
        </w:rPr>
      </w:pPr>
      <w:r w:rsidRPr="00B53A40">
        <w:rPr>
          <w:lang w:val="en-US" w:eastAsia="zh-CN"/>
        </w:rPr>
        <w:t>Discussion</w:t>
      </w:r>
    </w:p>
    <w:p w14:paraId="2A56C66C" w14:textId="1EB51999" w:rsidR="006B79DA" w:rsidRDefault="007110AC" w:rsidP="006B79DA">
      <w:pPr>
        <w:pStyle w:val="Heading2"/>
        <w:overflowPunct w:val="0"/>
        <w:autoSpaceDE w:val="0"/>
        <w:autoSpaceDN w:val="0"/>
        <w:adjustRightInd w:val="0"/>
        <w:textAlignment w:val="baseline"/>
        <w:rPr>
          <w:sz w:val="24"/>
          <w:lang w:val="en-US"/>
        </w:rPr>
      </w:pPr>
      <w:r w:rsidRPr="007110AC">
        <w:rPr>
          <w:sz w:val="24"/>
          <w:lang w:val="en-US"/>
        </w:rPr>
        <w:t>Numerology</w:t>
      </w:r>
    </w:p>
    <w:p w14:paraId="52CDACDD" w14:textId="2B81FC6E" w:rsidR="007754A1" w:rsidRPr="007754A1" w:rsidRDefault="0058691B" w:rsidP="007754A1">
      <w:pPr>
        <w:rPr>
          <w:lang w:val="en-US" w:eastAsia="zh-CN"/>
        </w:rPr>
      </w:pPr>
      <w:r>
        <w:rPr>
          <w:lang w:val="en-US" w:eastAsia="zh-CN"/>
        </w:rPr>
        <w:t>RAN#90e agreed a revision to the work item for extending current NR operation to 71GHz [3]. Together with the work item revision, a number of work item objectives have been agreed, providing conclusions to topics which were discussed also in RAN4 in this study item. Within these agreements are the subcarrier spacings for the new frequency range: 120 kHz, 480 kHz and 960 kHz. Therefore, RAN4 does not anymore need to continue to debate for which subcarrier spacings requirements will be developed.</w:t>
      </w:r>
    </w:p>
    <w:p w14:paraId="0BE7EF88" w14:textId="11AFC280" w:rsidR="007754A1" w:rsidRPr="007754A1" w:rsidRDefault="007754A1" w:rsidP="007754A1">
      <w:pPr>
        <w:rPr>
          <w:b/>
          <w:bCs/>
          <w:lang w:val="en-US" w:eastAsia="zh-CN"/>
        </w:rPr>
      </w:pPr>
      <w:r w:rsidRPr="007754A1">
        <w:rPr>
          <w:b/>
          <w:bCs/>
          <w:lang w:val="en-US" w:eastAsia="zh-CN"/>
        </w:rPr>
        <w:t xml:space="preserve">Observation 1: </w:t>
      </w:r>
      <w:r>
        <w:rPr>
          <w:b/>
          <w:bCs/>
          <w:lang w:val="en-US" w:eastAsia="zh-CN"/>
        </w:rPr>
        <w:t>As applicable SCS has been agreed by RAN#90, RAN4 task is now to develop requirements for those SCS.</w:t>
      </w:r>
    </w:p>
    <w:p w14:paraId="04B28B74" w14:textId="77777777" w:rsidR="007110AC" w:rsidRPr="007110AC" w:rsidRDefault="007110AC" w:rsidP="007110AC">
      <w:pPr>
        <w:pStyle w:val="Heading2"/>
        <w:overflowPunct w:val="0"/>
        <w:autoSpaceDE w:val="0"/>
        <w:autoSpaceDN w:val="0"/>
        <w:adjustRightInd w:val="0"/>
        <w:textAlignment w:val="baseline"/>
        <w:rPr>
          <w:sz w:val="24"/>
          <w:lang w:val="en-US"/>
        </w:rPr>
      </w:pPr>
      <w:r w:rsidRPr="007110AC">
        <w:rPr>
          <w:sz w:val="24"/>
          <w:lang w:val="en-US"/>
        </w:rPr>
        <w:t>Channel bandwidth including maximum bandwidth</w:t>
      </w:r>
    </w:p>
    <w:p w14:paraId="7B8337E4" w14:textId="5D9E0623" w:rsidR="00E15F54" w:rsidRDefault="001040A6" w:rsidP="006B79DA">
      <w:pPr>
        <w:spacing w:after="0"/>
        <w:rPr>
          <w:iCs/>
          <w:lang w:val="en-US" w:eastAsia="x-none"/>
        </w:rPr>
      </w:pPr>
      <w:r>
        <w:rPr>
          <w:iCs/>
          <w:lang w:val="en-US" w:eastAsia="x-none"/>
        </w:rPr>
        <w:t>In RAN4#96-e t</w:t>
      </w:r>
      <w:r w:rsidR="00E15F54" w:rsidRPr="005C4399">
        <w:rPr>
          <w:iCs/>
          <w:lang w:val="en-US" w:eastAsia="x-none"/>
        </w:rPr>
        <w:t>he following bandwidth was agreed to be further discussed</w:t>
      </w:r>
      <w:r w:rsidR="005C4399">
        <w:rPr>
          <w:iCs/>
          <w:lang w:val="en-US" w:eastAsia="x-none"/>
        </w:rPr>
        <w:t xml:space="preserve"> </w:t>
      </w:r>
      <w:r w:rsidR="00E15F54" w:rsidRPr="005C4399">
        <w:rPr>
          <w:iCs/>
          <w:lang w:val="en-US" w:eastAsia="x-none"/>
        </w:rPr>
        <w:fldChar w:fldCharType="begin"/>
      </w:r>
      <w:r w:rsidR="00E15F54" w:rsidRPr="005C4399">
        <w:rPr>
          <w:iCs/>
          <w:lang w:val="en-US" w:eastAsia="x-none"/>
        </w:rPr>
        <w:instrText xml:space="preserve"> REF _Ref53500542 \r \h </w:instrText>
      </w:r>
      <w:r w:rsidR="005C4399" w:rsidRPr="005C4399">
        <w:rPr>
          <w:iCs/>
          <w:lang w:val="en-US" w:eastAsia="x-none"/>
        </w:rPr>
        <w:instrText xml:space="preserve"> \* MERGEFORMAT </w:instrText>
      </w:r>
      <w:r w:rsidR="00E15F54" w:rsidRPr="005C4399">
        <w:rPr>
          <w:iCs/>
          <w:lang w:val="en-US" w:eastAsia="x-none"/>
        </w:rPr>
      </w:r>
      <w:r w:rsidR="00E15F54" w:rsidRPr="005C4399">
        <w:rPr>
          <w:iCs/>
          <w:lang w:val="en-US" w:eastAsia="x-none"/>
        </w:rPr>
        <w:fldChar w:fldCharType="separate"/>
      </w:r>
      <w:r w:rsidR="00A0307E">
        <w:rPr>
          <w:iCs/>
          <w:lang w:val="en-US" w:eastAsia="x-none"/>
        </w:rPr>
        <w:t>[</w:t>
      </w:r>
      <w:r>
        <w:rPr>
          <w:iCs/>
          <w:lang w:val="en-US" w:eastAsia="x-none"/>
        </w:rPr>
        <w:t>5</w:t>
      </w:r>
      <w:r w:rsidR="00A0307E">
        <w:rPr>
          <w:iCs/>
          <w:lang w:val="en-US" w:eastAsia="x-none"/>
        </w:rPr>
        <w:t>]</w:t>
      </w:r>
      <w:r w:rsidR="00E15F54" w:rsidRPr="005C4399">
        <w:rPr>
          <w:iCs/>
          <w:lang w:val="en-US" w:eastAsia="x-none"/>
        </w:rPr>
        <w:fldChar w:fldCharType="end"/>
      </w:r>
      <w:r w:rsidR="00E15F54" w:rsidRPr="005C4399">
        <w:rPr>
          <w:iCs/>
          <w:lang w:val="en-US" w:eastAsia="x-none"/>
        </w:rPr>
        <w:t>:</w:t>
      </w:r>
    </w:p>
    <w:p w14:paraId="1DC7E818" w14:textId="77777777" w:rsidR="004F31E9" w:rsidRPr="005C4399" w:rsidRDefault="004F31E9" w:rsidP="006B79DA">
      <w:pPr>
        <w:spacing w:after="0"/>
        <w:rPr>
          <w:iCs/>
          <w:lang w:val="en-US" w:eastAsia="x-none"/>
        </w:rPr>
      </w:pPr>
    </w:p>
    <w:p w14:paraId="7F5A534A" w14:textId="008C1FD3" w:rsidR="00E15F54" w:rsidRPr="005C4399" w:rsidRDefault="00D538CC" w:rsidP="005C4399">
      <w:pPr>
        <w:pStyle w:val="ListParagraph"/>
        <w:numPr>
          <w:ilvl w:val="0"/>
          <w:numId w:val="15"/>
        </w:numPr>
        <w:spacing w:after="0"/>
        <w:ind w:firstLineChars="0"/>
        <w:rPr>
          <w:i/>
          <w:color w:val="0070C0"/>
          <w:lang w:val="en-US" w:eastAsia="x-none"/>
        </w:rPr>
      </w:pPr>
      <w:r w:rsidRPr="005C4399">
        <w:rPr>
          <w:i/>
          <w:color w:val="0070C0"/>
          <w:lang w:val="en-US" w:eastAsia="x-none"/>
        </w:rPr>
        <w:t xml:space="preserve">The maximum </w:t>
      </w:r>
      <w:r w:rsidR="00806C90" w:rsidRPr="005C4399">
        <w:rPr>
          <w:i/>
          <w:color w:val="0070C0"/>
          <w:lang w:val="en-US" w:eastAsia="x-none"/>
        </w:rPr>
        <w:t xml:space="preserve">supported </w:t>
      </w:r>
      <w:r w:rsidRPr="005C4399">
        <w:rPr>
          <w:i/>
          <w:color w:val="0070C0"/>
          <w:lang w:val="en-US" w:eastAsia="x-none"/>
        </w:rPr>
        <w:t xml:space="preserve">channel bandwidth </w:t>
      </w:r>
      <w:r w:rsidR="00706034" w:rsidRPr="005C4399">
        <w:rPr>
          <w:i/>
          <w:color w:val="0070C0"/>
          <w:lang w:val="en-US" w:eastAsia="x-none"/>
        </w:rPr>
        <w:t>between</w:t>
      </w:r>
      <w:r w:rsidRPr="005C4399">
        <w:rPr>
          <w:i/>
          <w:color w:val="0070C0"/>
          <w:lang w:val="en-US" w:eastAsia="x-none"/>
        </w:rPr>
        <w:t xml:space="preserve"> 400</w:t>
      </w:r>
      <w:r w:rsidR="00706034" w:rsidRPr="005C4399">
        <w:rPr>
          <w:i/>
          <w:color w:val="0070C0"/>
          <w:lang w:val="en-US" w:eastAsia="x-none"/>
        </w:rPr>
        <w:t xml:space="preserve"> MHz</w:t>
      </w:r>
      <w:r w:rsidRPr="005C4399">
        <w:rPr>
          <w:i/>
          <w:color w:val="0070C0"/>
          <w:lang w:val="en-US" w:eastAsia="x-none"/>
        </w:rPr>
        <w:t xml:space="preserve"> </w:t>
      </w:r>
      <w:r w:rsidR="00706034" w:rsidRPr="005C4399">
        <w:rPr>
          <w:i/>
          <w:color w:val="0070C0"/>
          <w:lang w:val="en-US" w:eastAsia="x-none"/>
        </w:rPr>
        <w:t xml:space="preserve">and </w:t>
      </w:r>
      <w:r w:rsidRPr="005C4399">
        <w:rPr>
          <w:i/>
          <w:color w:val="0070C0"/>
          <w:lang w:val="en-US" w:eastAsia="x-none"/>
        </w:rPr>
        <w:t xml:space="preserve">2160 MHz, </w:t>
      </w:r>
    </w:p>
    <w:p w14:paraId="167BC3A5" w14:textId="01D2FBF2" w:rsidR="00D22812" w:rsidRDefault="00E15F54" w:rsidP="005C4399">
      <w:pPr>
        <w:pStyle w:val="ListParagraph"/>
        <w:numPr>
          <w:ilvl w:val="0"/>
          <w:numId w:val="15"/>
        </w:numPr>
        <w:spacing w:after="0"/>
        <w:ind w:firstLineChars="0"/>
        <w:rPr>
          <w:i/>
          <w:color w:val="0070C0"/>
          <w:lang w:val="en-US" w:eastAsia="x-none"/>
        </w:rPr>
      </w:pPr>
      <w:r w:rsidRPr="005C4399">
        <w:rPr>
          <w:i/>
          <w:color w:val="0070C0"/>
          <w:lang w:val="en-US" w:eastAsia="x-none"/>
        </w:rPr>
        <w:t>T</w:t>
      </w:r>
      <w:r w:rsidR="00D538CC" w:rsidRPr="005C4399">
        <w:rPr>
          <w:i/>
          <w:color w:val="0070C0"/>
          <w:lang w:val="en-US" w:eastAsia="x-none"/>
        </w:rPr>
        <w:t xml:space="preserve">he minimum </w:t>
      </w:r>
      <w:r w:rsidRPr="005C4399">
        <w:rPr>
          <w:i/>
          <w:color w:val="0070C0"/>
          <w:lang w:val="en-US" w:eastAsia="x-none"/>
        </w:rPr>
        <w:t xml:space="preserve">supported </w:t>
      </w:r>
      <w:r w:rsidR="00D538CC" w:rsidRPr="005C4399">
        <w:rPr>
          <w:i/>
          <w:color w:val="0070C0"/>
          <w:lang w:val="en-US" w:eastAsia="x-none"/>
        </w:rPr>
        <w:t xml:space="preserve">channel bandwidth </w:t>
      </w:r>
      <w:r w:rsidR="00706034" w:rsidRPr="005C4399">
        <w:rPr>
          <w:i/>
          <w:color w:val="0070C0"/>
          <w:lang w:val="en-US" w:eastAsia="x-none"/>
        </w:rPr>
        <w:t xml:space="preserve">between </w:t>
      </w:r>
      <w:r w:rsidR="00D538CC" w:rsidRPr="005C4399">
        <w:rPr>
          <w:i/>
          <w:color w:val="0070C0"/>
          <w:lang w:val="en-US" w:eastAsia="x-none"/>
        </w:rPr>
        <w:t>50</w:t>
      </w:r>
      <w:r w:rsidR="00706034" w:rsidRPr="005C4399">
        <w:rPr>
          <w:i/>
          <w:color w:val="0070C0"/>
          <w:lang w:val="en-US" w:eastAsia="x-none"/>
        </w:rPr>
        <w:t xml:space="preserve"> MHz</w:t>
      </w:r>
      <w:r w:rsidR="00D538CC" w:rsidRPr="005C4399">
        <w:rPr>
          <w:i/>
          <w:color w:val="0070C0"/>
          <w:lang w:val="en-US" w:eastAsia="x-none"/>
        </w:rPr>
        <w:t xml:space="preserve"> </w:t>
      </w:r>
      <w:r w:rsidR="00706034" w:rsidRPr="005C4399">
        <w:rPr>
          <w:i/>
          <w:color w:val="0070C0"/>
          <w:lang w:val="en-US" w:eastAsia="x-none"/>
        </w:rPr>
        <w:t>and</w:t>
      </w:r>
      <w:r w:rsidR="00D538CC" w:rsidRPr="005C4399">
        <w:rPr>
          <w:i/>
          <w:color w:val="0070C0"/>
          <w:lang w:val="en-US" w:eastAsia="x-none"/>
        </w:rPr>
        <w:t xml:space="preserve"> 800 </w:t>
      </w:r>
      <w:r w:rsidRPr="005C4399">
        <w:rPr>
          <w:i/>
          <w:color w:val="0070C0"/>
          <w:lang w:val="en-US" w:eastAsia="x-none"/>
        </w:rPr>
        <w:t>MHz</w:t>
      </w:r>
    </w:p>
    <w:p w14:paraId="161816CF" w14:textId="0ACCA677" w:rsidR="0058691B" w:rsidRDefault="0058691B" w:rsidP="0058691B">
      <w:pPr>
        <w:spacing w:after="0"/>
        <w:rPr>
          <w:i/>
          <w:color w:val="0070C0"/>
          <w:lang w:val="en-US" w:eastAsia="x-none"/>
        </w:rPr>
      </w:pPr>
    </w:p>
    <w:p w14:paraId="71BF2F33" w14:textId="75BFB589" w:rsidR="0058691B" w:rsidRDefault="0058691B" w:rsidP="0058691B">
      <w:pPr>
        <w:spacing w:after="0"/>
        <w:rPr>
          <w:iCs/>
          <w:lang w:val="en-US" w:eastAsia="x-none"/>
        </w:rPr>
      </w:pPr>
      <w:r w:rsidRPr="0058691B">
        <w:rPr>
          <w:iCs/>
          <w:lang w:val="en-US" w:eastAsia="x-none"/>
        </w:rPr>
        <w:t>During RAN4-97-e</w:t>
      </w:r>
      <w:r>
        <w:rPr>
          <w:iCs/>
          <w:lang w:val="en-US" w:eastAsia="x-none"/>
        </w:rPr>
        <w:t xml:space="preserve">, a WF [4] was agreed, with no significant </w:t>
      </w:r>
      <w:proofErr w:type="spellStart"/>
      <w:r>
        <w:rPr>
          <w:iCs/>
          <w:lang w:val="en-US" w:eastAsia="x-none"/>
        </w:rPr>
        <w:t>downselection</w:t>
      </w:r>
      <w:proofErr w:type="spellEnd"/>
      <w:r>
        <w:rPr>
          <w:iCs/>
          <w:lang w:val="en-US" w:eastAsia="x-none"/>
        </w:rPr>
        <w:t>:</w:t>
      </w:r>
    </w:p>
    <w:p w14:paraId="56A44D04" w14:textId="77777777" w:rsidR="0058691B" w:rsidRDefault="0058691B" w:rsidP="0058691B">
      <w:pPr>
        <w:spacing w:after="0"/>
        <w:rPr>
          <w:iCs/>
          <w:lang w:val="en-US" w:eastAsia="x-none"/>
        </w:rPr>
      </w:pPr>
    </w:p>
    <w:p w14:paraId="0E02D13C" w14:textId="782B8338" w:rsidR="0058691B" w:rsidRDefault="0058691B" w:rsidP="0058691B">
      <w:pPr>
        <w:ind w:left="567"/>
        <w:rPr>
          <w:color w:val="000000" w:themeColor="text1"/>
          <w:lang w:val="en-US" w:eastAsia="sv-SE"/>
        </w:rPr>
      </w:pPr>
      <w:r>
        <w:rPr>
          <w:b/>
          <w:lang w:eastAsia="sv-SE"/>
        </w:rPr>
        <w:t>WF#1</w:t>
      </w:r>
      <w:r>
        <w:rPr>
          <w:lang w:eastAsia="sv-SE"/>
        </w:rPr>
        <w:t xml:space="preserve">: Minimum channel bandwidth for 52.6 – 71 GHz NR operation: both </w:t>
      </w:r>
      <w:r>
        <w:rPr>
          <w:color w:val="000000" w:themeColor="text1"/>
          <w:lang w:val="en-US" w:eastAsia="sv-SE"/>
        </w:rPr>
        <w:t xml:space="preserve">50MHz and 400MHz channel bandwidths are considered as conclusion of RAN4 part of SI and as inputs to the </w:t>
      </w:r>
      <w:proofErr w:type="spellStart"/>
      <w:r>
        <w:rPr>
          <w:color w:val="000000" w:themeColor="text1"/>
          <w:lang w:val="en-US" w:eastAsia="sv-SE"/>
        </w:rPr>
        <w:t>followup</w:t>
      </w:r>
      <w:proofErr w:type="spellEnd"/>
      <w:r>
        <w:rPr>
          <w:color w:val="000000" w:themeColor="text1"/>
          <w:lang w:val="en-US" w:eastAsia="sv-SE"/>
        </w:rPr>
        <w:t xml:space="preserve"> WI discussions. </w:t>
      </w:r>
    </w:p>
    <w:p w14:paraId="1D21967C" w14:textId="77777777" w:rsidR="0058691B" w:rsidRDefault="0058691B" w:rsidP="0058691B">
      <w:pPr>
        <w:ind w:left="567"/>
        <w:rPr>
          <w:lang w:val="en-US" w:eastAsia="sv-SE"/>
        </w:rPr>
      </w:pPr>
      <w:r>
        <w:rPr>
          <w:b/>
          <w:bCs/>
          <w:lang w:eastAsia="sv-SE"/>
        </w:rPr>
        <w:lastRenderedPageBreak/>
        <w:t>WF#2</w:t>
      </w:r>
      <w:r>
        <w:rPr>
          <w:lang w:eastAsia="sv-SE"/>
        </w:rPr>
        <w:t xml:space="preserve">: Maximum channel bandwidth for 52.6 – 71 GHz NR operation: depends on the decision on the max SCS in RAN1 (both 480 and 960 kHz SCS under consideration in RAN1) and further </w:t>
      </w:r>
      <w:r>
        <w:t xml:space="preserve">RAN4 discussion in </w:t>
      </w:r>
      <w:proofErr w:type="spellStart"/>
      <w:r>
        <w:rPr>
          <w:lang w:eastAsia="sv-SE"/>
        </w:rPr>
        <w:t>followup</w:t>
      </w:r>
      <w:proofErr w:type="spellEnd"/>
      <w:r>
        <w:rPr>
          <w:lang w:eastAsia="sv-SE"/>
        </w:rPr>
        <w:t xml:space="preserve"> </w:t>
      </w:r>
      <w:r>
        <w:t>WI</w:t>
      </w:r>
      <w:r>
        <w:rPr>
          <w:lang w:eastAsia="sv-SE"/>
        </w:rPr>
        <w:t xml:space="preserve">. </w:t>
      </w:r>
    </w:p>
    <w:p w14:paraId="2C96C28E" w14:textId="12D226DA" w:rsidR="0058691B" w:rsidRDefault="0058691B" w:rsidP="0058691B">
      <w:pPr>
        <w:ind w:left="567"/>
        <w:rPr>
          <w:color w:val="000000" w:themeColor="text1"/>
        </w:rPr>
      </w:pPr>
      <w:r>
        <w:rPr>
          <w:b/>
          <w:lang w:eastAsia="sv-SE"/>
        </w:rPr>
        <w:t>WF#3</w:t>
      </w:r>
      <w:r>
        <w:rPr>
          <w:lang w:eastAsia="sv-SE"/>
        </w:rPr>
        <w:t xml:space="preserve">: Carrier aggregation is considered to be used </w:t>
      </w:r>
      <w:r>
        <w:rPr>
          <w:color w:val="000000" w:themeColor="text1"/>
        </w:rPr>
        <w:t>for NR operation in 52.6 – 71 GHz range. Decision on intra/inter band operation in contiguous/non-contiguous allocation is out of scope of this SI.</w:t>
      </w:r>
    </w:p>
    <w:p w14:paraId="781A77A6" w14:textId="5EDB9CF7" w:rsidR="0058691B" w:rsidRDefault="0058691B" w:rsidP="00933174">
      <w:pPr>
        <w:spacing w:after="0"/>
        <w:rPr>
          <w:bCs/>
          <w:lang w:eastAsia="sv-SE"/>
        </w:rPr>
      </w:pPr>
      <w:r>
        <w:rPr>
          <w:bCs/>
          <w:lang w:eastAsia="sv-SE"/>
        </w:rPr>
        <w:t>The channel bandwidths are discussed further below based on the WF above and taking into the RAN plenary agreement of supporting SCS up to 960 kHz.</w:t>
      </w:r>
    </w:p>
    <w:p w14:paraId="594E1B4A" w14:textId="77777777" w:rsidR="0058691B" w:rsidRDefault="0058691B" w:rsidP="00933174">
      <w:pPr>
        <w:spacing w:after="0"/>
        <w:rPr>
          <w:iCs/>
          <w:lang w:val="en-US" w:eastAsia="x-none"/>
        </w:rPr>
      </w:pPr>
    </w:p>
    <w:p w14:paraId="2DBEA59E" w14:textId="77777777" w:rsidR="00DB76A9" w:rsidRPr="00DF1291" w:rsidRDefault="00DB76A9" w:rsidP="00DB76A9">
      <w:pPr>
        <w:rPr>
          <w:rFonts w:ascii="Calibri" w:eastAsia="SimSun" w:hAnsi="Calibri"/>
          <w:b/>
          <w:u w:val="single"/>
          <w:lang w:eastAsia="x-none"/>
        </w:rPr>
      </w:pPr>
      <w:r w:rsidRPr="00DF1291">
        <w:rPr>
          <w:b/>
          <w:u w:val="single"/>
          <w:lang w:eastAsia="x-none"/>
        </w:rPr>
        <w:t>Channelization and sub-channelization:</w:t>
      </w:r>
    </w:p>
    <w:p w14:paraId="05E47432" w14:textId="18704DEF" w:rsidR="00DB76A9" w:rsidRPr="00DF1291" w:rsidRDefault="00DB76A9" w:rsidP="00DB76A9">
      <w:pPr>
        <w:rPr>
          <w:lang w:val="en-US"/>
        </w:rPr>
      </w:pPr>
      <w:r w:rsidRPr="00E52321">
        <w:rPr>
          <w:lang w:val="en-US"/>
        </w:rPr>
        <w:t xml:space="preserve">In [6], ITU-R recommends 2.16 GHz channel bandwidth for multiple gigabit wireless systems (MGWS) on the grounds that MGWS standards should employ the same channelization for better coexistence. </w:t>
      </w:r>
      <w:r w:rsidRPr="00DF1291">
        <w:rPr>
          <w:lang w:val="en-US"/>
        </w:rPr>
        <w:t xml:space="preserve">As discussed in </w:t>
      </w:r>
      <w:r w:rsidRPr="004638D9">
        <w:fldChar w:fldCharType="begin"/>
      </w:r>
      <w:r w:rsidRPr="00DF1291">
        <w:rPr>
          <w:lang w:val="en-US"/>
        </w:rPr>
        <w:instrText xml:space="preserve"> REF _Ref31097951 \n \h  \* MERGEFORMAT </w:instrText>
      </w:r>
      <w:r w:rsidRPr="004638D9">
        <w:fldChar w:fldCharType="separate"/>
      </w:r>
      <w:r w:rsidR="00A0307E">
        <w:rPr>
          <w:lang w:val="en-US"/>
        </w:rPr>
        <w:t>[2]</w:t>
      </w:r>
      <w:r w:rsidRPr="004638D9">
        <w:fldChar w:fldCharType="end"/>
      </w:r>
      <w:r w:rsidRPr="00E52321">
        <w:rPr>
          <w:lang w:val="en-US"/>
        </w:rPr>
        <w:t>, 802.11ad/ay systems currently support multiple of 2.16 GHz block</w:t>
      </w:r>
      <w:r w:rsidRPr="00DF1291">
        <w:rPr>
          <w:lang w:val="en-US"/>
        </w:rPr>
        <w:t xml:space="preserve">s in 52.6 GHz to 71 GHz unlicensed spectrum. In order to maximize the coexistence between </w:t>
      </w:r>
      <w:proofErr w:type="spellStart"/>
      <w:r w:rsidRPr="00DF1291">
        <w:rPr>
          <w:lang w:val="en-US"/>
        </w:rPr>
        <w:t>WiGig</w:t>
      </w:r>
      <w:proofErr w:type="spellEnd"/>
      <w:r w:rsidRPr="00DF1291">
        <w:rPr>
          <w:lang w:val="en-US"/>
        </w:rPr>
        <w:t>, it makes sense to consider 2.16 GHz as the baseline channelization for NR above 52.6 GHz.</w:t>
      </w:r>
    </w:p>
    <w:p w14:paraId="284A54D1" w14:textId="1125EE8F" w:rsidR="00DB76A9" w:rsidRPr="00DF1291" w:rsidRDefault="00DB76A9" w:rsidP="00DB76A9">
      <w:pPr>
        <w:rPr>
          <w:lang w:val="en-US"/>
        </w:rPr>
      </w:pPr>
      <w:r w:rsidRPr="00E52321">
        <w:rPr>
          <w:lang w:val="en-US"/>
        </w:rPr>
        <w:t>One of the basic features of NR is variable bandwidth operation</w:t>
      </w:r>
      <w:r w:rsidRPr="00DF1291">
        <w:rPr>
          <w:lang w:val="en-US"/>
        </w:rPr>
        <w:t xml:space="preserve"> and it needs to be supported also when operating at a 2.16 GHz channel (@ 60GHz band). Narrowband operation will enable a higher power spectral density, which has positive impact to the cell throughput in coverage limited scenarios, as shown e.g. in </w:t>
      </w:r>
      <w:r w:rsidR="005E6457">
        <w:rPr>
          <w:lang w:val="en-US"/>
        </w:rPr>
        <w:fldChar w:fldCharType="begin"/>
      </w:r>
      <w:r w:rsidR="005E6457">
        <w:rPr>
          <w:lang w:val="en-US"/>
        </w:rPr>
        <w:instrText xml:space="preserve"> REF _Ref53572684 \r \h </w:instrText>
      </w:r>
      <w:r w:rsidR="005E6457">
        <w:rPr>
          <w:lang w:val="en-US"/>
        </w:rPr>
      </w:r>
      <w:r w:rsidR="005E6457">
        <w:rPr>
          <w:lang w:val="en-US"/>
        </w:rPr>
        <w:fldChar w:fldCharType="separate"/>
      </w:r>
      <w:r w:rsidR="00A0307E">
        <w:rPr>
          <w:lang w:val="en-US"/>
        </w:rPr>
        <w:t>[</w:t>
      </w:r>
      <w:r w:rsidR="001040A6">
        <w:rPr>
          <w:lang w:val="en-US"/>
        </w:rPr>
        <w:t>7</w:t>
      </w:r>
      <w:r w:rsidR="00A0307E">
        <w:rPr>
          <w:lang w:val="en-US"/>
        </w:rPr>
        <w:t>]</w:t>
      </w:r>
      <w:r w:rsidR="005E6457">
        <w:rPr>
          <w:lang w:val="en-US"/>
        </w:rPr>
        <w:fldChar w:fldCharType="end"/>
      </w:r>
      <w:r w:rsidRPr="00DF1291">
        <w:rPr>
          <w:lang w:val="en-US"/>
        </w:rPr>
        <w:t xml:space="preserve">. A natural starting point for the narrowband operation is to support 400 MHz bandwidth also for 60 GHz scenario. </w:t>
      </w:r>
      <w:r w:rsidR="00CA57A0">
        <w:rPr>
          <w:lang w:val="en-US"/>
        </w:rPr>
        <w:t xml:space="preserve">According to the WID, </w:t>
      </w:r>
      <w:r w:rsidR="00CA57A0">
        <w:t xml:space="preserve">120 kHz SCS </w:t>
      </w:r>
      <w:r w:rsidR="00D26B49">
        <w:t xml:space="preserve">with 400 MHz maximum bandwidth </w:t>
      </w:r>
      <w:r w:rsidR="00CA57A0">
        <w:t>is supported by all UEs, while 480 kHz and 960 kHz SCSs are optional.</w:t>
      </w:r>
      <w:r w:rsidR="00CA57A0" w:rsidRPr="00DF1291">
        <w:rPr>
          <w:lang w:val="en-US"/>
        </w:rPr>
        <w:t xml:space="preserve"> </w:t>
      </w:r>
      <w:r w:rsidRPr="00DF1291">
        <w:rPr>
          <w:lang w:val="en-US"/>
        </w:rPr>
        <w:t xml:space="preserve">It can be noted that 400 MHz bandwidth is sufficient to provide the maximum allowed EIRP under conditions of limited maximum power spectral density (dBm/MHz). </w:t>
      </w:r>
    </w:p>
    <w:p w14:paraId="46A4A7AC" w14:textId="33397568" w:rsidR="00DB76A9" w:rsidRPr="00DF1291" w:rsidRDefault="00DB76A9" w:rsidP="00DB76A9">
      <w:pPr>
        <w:rPr>
          <w:lang w:val="en-US"/>
        </w:rPr>
      </w:pPr>
      <w:r w:rsidRPr="00DA21D6">
        <w:rPr>
          <w:lang w:val="en-US"/>
        </w:rPr>
        <w:t>RAN1 #102-e made an agreement to “</w:t>
      </w:r>
      <w:r w:rsidRPr="00DA21D6">
        <w:rPr>
          <w:color w:val="0070C0"/>
          <w:lang w:val="en-US"/>
        </w:rPr>
        <w:t>consider the study of NR channelization/sub-channelization, including the justification for the features and their potential benefits”</w:t>
      </w:r>
      <w:r w:rsidRPr="00DA21D6">
        <w:rPr>
          <w:lang w:val="en-US"/>
        </w:rPr>
        <w:t>. A</w:t>
      </w:r>
      <w:r w:rsidRPr="4C9CB026">
        <w:rPr>
          <w:lang w:val="en-US"/>
        </w:rPr>
        <w:t xml:space="preserve"> motivation behind is to facilitate efficient interference management for </w:t>
      </w:r>
      <w:r w:rsidR="1F4B62A1" w:rsidRPr="4C9CB026">
        <w:rPr>
          <w:lang w:val="en-US"/>
        </w:rPr>
        <w:t>wideband/</w:t>
      </w:r>
      <w:r w:rsidRPr="4C9CB026">
        <w:rPr>
          <w:lang w:val="en-US"/>
        </w:rPr>
        <w:t xml:space="preserve">narrowband operation. Sub-channelization can be seen as “channelization for narrowband operation”, which aims at avoiding partial overlap between transmissions from adjacent </w:t>
      </w:r>
      <w:proofErr w:type="spellStart"/>
      <w:r w:rsidRPr="4C9CB026">
        <w:rPr>
          <w:lang w:val="en-US"/>
        </w:rPr>
        <w:t>gNBs</w:t>
      </w:r>
      <w:proofErr w:type="spellEnd"/>
      <w:r w:rsidRPr="4C9CB026">
        <w:rPr>
          <w:lang w:val="en-US"/>
        </w:rPr>
        <w:t xml:space="preserve">/UEs. Figure 1 shows an example where 2.16 GHz channel is split into five sub-channels of 432 </w:t>
      </w:r>
      <w:proofErr w:type="spellStart"/>
      <w:r w:rsidR="00806C90" w:rsidRPr="4C9CB026">
        <w:rPr>
          <w:lang w:val="en-US"/>
        </w:rPr>
        <w:t>MHz.</w:t>
      </w:r>
      <w:proofErr w:type="spellEnd"/>
      <w:r w:rsidRPr="4C9CB026">
        <w:rPr>
          <w:lang w:val="en-US"/>
        </w:rPr>
        <w:t xml:space="preserve"> In this scenario, sub-channelization would mean that up-to 400 MHz transmission should be confined within one sub-channel, up-to 800 MHz transmission within two consecutive sub-channels (within a 2.16 GHz channel) and so forth. </w:t>
      </w:r>
    </w:p>
    <w:p w14:paraId="35C151D8" w14:textId="360757F4" w:rsidR="00DB76A9" w:rsidRPr="00DA21D6" w:rsidRDefault="00DB76A9" w:rsidP="00DB76A9">
      <w:pPr>
        <w:rPr>
          <w:b/>
          <w:iCs/>
          <w:lang w:val="en-US"/>
        </w:rPr>
      </w:pPr>
      <w:r w:rsidRPr="00DA21D6">
        <w:rPr>
          <w:b/>
          <w:iCs/>
          <w:lang w:val="en-US"/>
        </w:rPr>
        <w:t xml:space="preserve">Proposal 1: </w:t>
      </w:r>
      <w:r w:rsidR="00CA57A0">
        <w:rPr>
          <w:b/>
          <w:iCs/>
          <w:lang w:val="en-US"/>
        </w:rPr>
        <w:t>Support</w:t>
      </w:r>
      <w:r w:rsidR="00CA57A0" w:rsidRPr="00DA21D6">
        <w:rPr>
          <w:b/>
          <w:iCs/>
          <w:lang w:val="en-US"/>
        </w:rPr>
        <w:t xml:space="preserve"> </w:t>
      </w:r>
      <w:r w:rsidRPr="00DA21D6">
        <w:rPr>
          <w:b/>
          <w:iCs/>
          <w:lang w:val="en-US"/>
        </w:rPr>
        <w:t>channelization according to 2.16 GHz CBW, which is preferred from coexistence point of view.</w:t>
      </w:r>
    </w:p>
    <w:p w14:paraId="546D9592" w14:textId="45C7EFFE" w:rsidR="00DB76A9" w:rsidRPr="00DA21D6" w:rsidRDefault="0A357569" w:rsidP="5A59F54A">
      <w:pPr>
        <w:rPr>
          <w:b/>
          <w:bCs/>
          <w:lang w:val="en-US"/>
        </w:rPr>
      </w:pPr>
      <w:r w:rsidRPr="5A59F54A">
        <w:rPr>
          <w:b/>
          <w:bCs/>
          <w:lang w:val="en-US"/>
        </w:rPr>
        <w:t>Proposal 2: Support sub-channelization for 2.16 GHz channels to facilitate smooth coexistence for narrowband operation.</w:t>
      </w:r>
    </w:p>
    <w:p w14:paraId="0B0FF488" w14:textId="77777777" w:rsidR="00DB76A9" w:rsidRPr="004638D9" w:rsidRDefault="00DB76A9" w:rsidP="00DB76A9">
      <w:r>
        <w:rPr>
          <w:noProof/>
        </w:rPr>
        <w:drawing>
          <wp:inline distT="0" distB="0" distL="0" distR="0" wp14:anchorId="64FA638F" wp14:editId="74CA61DA">
            <wp:extent cx="6120765" cy="659130"/>
            <wp:effectExtent l="0" t="0" r="0" b="762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6120765" cy="659130"/>
                    </a:xfrm>
                    <a:prstGeom prst="rect">
                      <a:avLst/>
                    </a:prstGeom>
                  </pic:spPr>
                </pic:pic>
              </a:graphicData>
            </a:graphic>
          </wp:inline>
        </w:drawing>
      </w:r>
    </w:p>
    <w:p w14:paraId="7E24CDDC" w14:textId="0F283808" w:rsidR="00DB76A9" w:rsidRPr="00DF1291" w:rsidRDefault="00DB76A9" w:rsidP="00DB76A9">
      <w:pPr>
        <w:pStyle w:val="Caption"/>
        <w:jc w:val="center"/>
        <w:rPr>
          <w:lang w:val="en-US"/>
        </w:rPr>
      </w:pPr>
      <w:r w:rsidRPr="00E52321">
        <w:rPr>
          <w:lang w:val="en-US"/>
        </w:rPr>
        <w:t xml:space="preserve">Figure </w:t>
      </w:r>
      <w:r w:rsidRPr="004638D9">
        <w:fldChar w:fldCharType="begin"/>
      </w:r>
      <w:r w:rsidRPr="00DF1291">
        <w:rPr>
          <w:lang w:val="en-US"/>
        </w:rPr>
        <w:instrText xml:space="preserve"> SEQ Figure \* ARABIC </w:instrText>
      </w:r>
      <w:r w:rsidRPr="004638D9">
        <w:fldChar w:fldCharType="separate"/>
      </w:r>
      <w:r w:rsidR="00A0307E">
        <w:rPr>
          <w:noProof/>
          <w:lang w:val="en-US"/>
        </w:rPr>
        <w:t>1</w:t>
      </w:r>
      <w:r w:rsidRPr="004638D9">
        <w:fldChar w:fldCharType="end"/>
      </w:r>
      <w:r w:rsidRPr="00E52321">
        <w:rPr>
          <w:lang w:val="en-US"/>
        </w:rPr>
        <w:t>. Five subchannels within a 2.16 GHz channel.</w:t>
      </w:r>
    </w:p>
    <w:p w14:paraId="1F28B381" w14:textId="77777777" w:rsidR="00DB76A9" w:rsidRDefault="00DB76A9" w:rsidP="00933174">
      <w:pPr>
        <w:spacing w:after="0"/>
        <w:rPr>
          <w:iCs/>
          <w:lang w:val="en-US" w:eastAsia="x-none"/>
        </w:rPr>
      </w:pPr>
    </w:p>
    <w:p w14:paraId="0D29D048" w14:textId="5669DAF8" w:rsidR="00CA57A0" w:rsidRPr="004872F0" w:rsidRDefault="00CA57A0" w:rsidP="00CA57A0">
      <w:pPr>
        <w:spacing w:after="0"/>
        <w:rPr>
          <w:b/>
          <w:bCs/>
          <w:u w:val="single"/>
          <w:lang w:val="en-US"/>
        </w:rPr>
      </w:pPr>
      <w:r w:rsidRPr="004872F0">
        <w:rPr>
          <w:b/>
          <w:bCs/>
          <w:u w:val="single"/>
          <w:lang w:val="en-US"/>
        </w:rPr>
        <w:t>Maximum and minimum channel bandwidths</w:t>
      </w:r>
    </w:p>
    <w:p w14:paraId="36023D0D" w14:textId="3659C9CB" w:rsidR="00CA57A0" w:rsidRPr="007E4E13" w:rsidRDefault="00CA57A0" w:rsidP="00CA57A0">
      <w:pPr>
        <w:spacing w:after="0"/>
        <w:rPr>
          <w:u w:val="single"/>
          <w:lang w:val="en-US"/>
        </w:rPr>
      </w:pPr>
    </w:p>
    <w:p w14:paraId="613D2D0E" w14:textId="21CEA31C" w:rsidR="00CF180E" w:rsidRDefault="00CF180E" w:rsidP="00CF180E">
      <w:pPr>
        <w:spacing w:after="0"/>
        <w:textAlignment w:val="baseline"/>
        <w:rPr>
          <w:rFonts w:eastAsia="Times New Roman"/>
          <w:lang w:eastAsia="fi-FI"/>
        </w:rPr>
      </w:pPr>
      <w:r w:rsidRPr="004872F0">
        <w:rPr>
          <w:rFonts w:eastAsia="Times New Roman"/>
          <w:lang w:eastAsia="fi-FI"/>
        </w:rPr>
        <w:t>There is a connection between maximum bandwidth and sam</w:t>
      </w:r>
      <w:r w:rsidRPr="004872F0">
        <w:rPr>
          <w:rFonts w:eastAsia="Times New Roman"/>
          <w:color w:val="0078D4"/>
          <w:u w:val="single"/>
          <w:lang w:eastAsia="fi-FI"/>
        </w:rPr>
        <w:t>p</w:t>
      </w:r>
      <w:r w:rsidRPr="004872F0">
        <w:rPr>
          <w:rFonts w:eastAsia="Times New Roman"/>
          <w:lang w:eastAsia="fi-FI"/>
        </w:rPr>
        <w:t>ling rate: the higher the sampling rate the higher the achievable carrier BW (and vice versa). The current NR specification </w:t>
      </w:r>
      <w:r w:rsidRPr="004872F0">
        <w:rPr>
          <w:rFonts w:eastAsia="Times New Roman"/>
          <w:color w:val="000000"/>
          <w:shd w:val="clear" w:color="auto" w:fill="E1E3E6"/>
          <w:lang w:eastAsia="fi-FI"/>
        </w:rPr>
        <w:t>[8]</w:t>
      </w:r>
      <w:r w:rsidRPr="004872F0">
        <w:rPr>
          <w:rFonts w:eastAsia="Times New Roman"/>
          <w:lang w:eastAsia="fi-FI"/>
        </w:rPr>
        <w:t> defines the sampling rate in terms of time units, Tc, defined as </w:t>
      </w:r>
      <w:r w:rsidRPr="004872F0">
        <w:rPr>
          <w:rFonts w:eastAsia="Times New Roman"/>
          <w:i/>
          <w:iCs/>
          <w:lang w:eastAsia="fi-FI"/>
        </w:rPr>
        <w:t>T</w:t>
      </w:r>
      <w:r w:rsidRPr="004872F0">
        <w:rPr>
          <w:rFonts w:eastAsia="Times New Roman"/>
          <w:i/>
          <w:iCs/>
          <w:vertAlign w:val="subscript"/>
          <w:lang w:eastAsia="fi-FI"/>
        </w:rPr>
        <w:t>c</w:t>
      </w:r>
      <w:r w:rsidRPr="004872F0">
        <w:rPr>
          <w:rFonts w:eastAsia="Times New Roman"/>
          <w:i/>
          <w:iCs/>
          <w:lang w:eastAsia="fi-FI"/>
        </w:rPr>
        <w:t> =</w:t>
      </w:r>
      <w:r w:rsidRPr="004872F0">
        <w:rPr>
          <w:rFonts w:eastAsia="Times New Roman"/>
          <w:lang w:eastAsia="fi-FI"/>
        </w:rPr>
        <w:t>1/( Δ</w:t>
      </w:r>
      <w:r w:rsidRPr="004872F0">
        <w:rPr>
          <w:rFonts w:ascii="Cambria Math" w:eastAsia="Times New Roman" w:hAnsi="Cambria Math"/>
          <w:lang w:eastAsia="fi-FI"/>
        </w:rPr>
        <w:t>𝑓</w:t>
      </w:r>
      <w:r w:rsidRPr="004872F0">
        <w:rPr>
          <w:rFonts w:eastAsia="Times New Roman"/>
          <w:vertAlign w:val="subscript"/>
          <w:lang w:eastAsia="fi-FI"/>
        </w:rPr>
        <w:t>max</w:t>
      </w:r>
      <w:r w:rsidRPr="004872F0">
        <w:rPr>
          <w:rFonts w:ascii="Calibri" w:eastAsia="Times New Roman" w:hAnsi="Calibri" w:cs="Calibri"/>
          <w:lang w:eastAsia="fi-FI"/>
        </w:rPr>
        <w:t> ∙ </w:t>
      </w:r>
      <w:proofErr w:type="spellStart"/>
      <w:r w:rsidRPr="004872F0">
        <w:rPr>
          <w:rFonts w:eastAsia="Times New Roman"/>
          <w:i/>
          <w:iCs/>
          <w:lang w:eastAsia="fi-FI"/>
        </w:rPr>
        <w:t>N</w:t>
      </w:r>
      <w:r w:rsidRPr="004872F0">
        <w:rPr>
          <w:rFonts w:eastAsia="Times New Roman"/>
          <w:i/>
          <w:iCs/>
          <w:vertAlign w:val="subscript"/>
          <w:lang w:eastAsia="fi-FI"/>
        </w:rPr>
        <w:t>f</w:t>
      </w:r>
      <w:proofErr w:type="spellEnd"/>
      <w:r w:rsidRPr="004872F0">
        <w:rPr>
          <w:rFonts w:eastAsia="Times New Roman"/>
          <w:lang w:eastAsia="fi-FI"/>
        </w:rPr>
        <w:t>), where Δ</w:t>
      </w:r>
      <w:r w:rsidRPr="004872F0">
        <w:rPr>
          <w:rFonts w:ascii="Cambria Math" w:eastAsia="Times New Roman" w:hAnsi="Cambria Math"/>
          <w:lang w:eastAsia="fi-FI"/>
        </w:rPr>
        <w:t>𝑓</w:t>
      </w:r>
      <w:r w:rsidRPr="004872F0">
        <w:rPr>
          <w:rFonts w:eastAsia="Times New Roman"/>
          <w:vertAlign w:val="subscript"/>
          <w:lang w:eastAsia="fi-FI"/>
        </w:rPr>
        <w:t>max</w:t>
      </w:r>
      <w:r w:rsidRPr="004872F0">
        <w:rPr>
          <w:rFonts w:eastAsia="Times New Roman"/>
          <w:lang w:eastAsia="fi-FI"/>
        </w:rPr>
        <w:t> = 480 ∙ 10</w:t>
      </w:r>
      <w:r w:rsidRPr="004872F0">
        <w:rPr>
          <w:rFonts w:eastAsia="Times New Roman"/>
          <w:vertAlign w:val="superscript"/>
          <w:lang w:eastAsia="fi-FI"/>
        </w:rPr>
        <w:t>3</w:t>
      </w:r>
      <w:r w:rsidRPr="004872F0">
        <w:rPr>
          <w:rFonts w:eastAsia="Times New Roman"/>
          <w:lang w:eastAsia="fi-FI"/>
        </w:rPr>
        <w:t> Hz and </w:t>
      </w:r>
      <w:proofErr w:type="spellStart"/>
      <w:r w:rsidRPr="004872F0">
        <w:rPr>
          <w:rFonts w:eastAsia="Times New Roman"/>
          <w:i/>
          <w:iCs/>
          <w:lang w:eastAsia="fi-FI"/>
        </w:rPr>
        <w:t>N</w:t>
      </w:r>
      <w:r w:rsidRPr="004872F0">
        <w:rPr>
          <w:rFonts w:eastAsia="Times New Roman"/>
          <w:i/>
          <w:iCs/>
          <w:vertAlign w:val="subscript"/>
          <w:lang w:eastAsia="fi-FI"/>
        </w:rPr>
        <w:t>f</w:t>
      </w:r>
      <w:proofErr w:type="spellEnd"/>
      <w:r w:rsidRPr="004872F0">
        <w:rPr>
          <w:rFonts w:eastAsia="Times New Roman"/>
          <w:i/>
          <w:iCs/>
          <w:vertAlign w:val="subscript"/>
          <w:lang w:eastAsia="fi-FI"/>
        </w:rPr>
        <w:t>  </w:t>
      </w:r>
      <w:r w:rsidRPr="004872F0">
        <w:rPr>
          <w:rFonts w:eastAsia="Times New Roman"/>
          <w:lang w:eastAsia="fi-FI"/>
        </w:rPr>
        <w:t>= 4096.  </w:t>
      </w:r>
    </w:p>
    <w:p w14:paraId="0F542771" w14:textId="77777777" w:rsidR="0033537D" w:rsidRPr="004872F0" w:rsidRDefault="0033537D" w:rsidP="00CF180E">
      <w:pPr>
        <w:spacing w:after="0"/>
        <w:textAlignment w:val="baseline"/>
        <w:rPr>
          <w:rFonts w:eastAsia="Times New Roman"/>
          <w:lang w:eastAsia="fi-FI"/>
        </w:rPr>
      </w:pPr>
    </w:p>
    <w:p w14:paraId="02F66601" w14:textId="52C5F751" w:rsidR="00CF180E" w:rsidRPr="004872F0" w:rsidRDefault="00CF180E" w:rsidP="00CF180E">
      <w:pPr>
        <w:spacing w:after="0"/>
        <w:textAlignment w:val="baseline"/>
        <w:rPr>
          <w:rFonts w:eastAsia="Times New Roman"/>
          <w:lang w:eastAsia="fi-FI"/>
        </w:rPr>
      </w:pPr>
      <w:r w:rsidRPr="004872F0">
        <w:rPr>
          <w:rFonts w:eastAsia="Times New Roman"/>
          <w:lang w:eastAsia="fi-FI"/>
        </w:rPr>
        <w:lastRenderedPageBreak/>
        <w:t>Based on the current Tc definition, the maximum supported carrier </w:t>
      </w:r>
      <w:r w:rsidR="00240704" w:rsidRPr="008434A2">
        <w:rPr>
          <w:rFonts w:eastAsia="Times New Roman"/>
          <w:lang w:eastAsia="fi-FI"/>
        </w:rPr>
        <w:t>bandwidth</w:t>
      </w:r>
      <w:r w:rsidRPr="004872F0">
        <w:rPr>
          <w:rFonts w:eastAsia="Times New Roman"/>
          <w:lang w:eastAsia="fi-FI"/>
        </w:rPr>
        <w:t> equals to 1.966 GHz (=1/Tc). On top of the </w:t>
      </w:r>
      <w:r w:rsidRPr="004872F0">
        <w:rPr>
          <w:rFonts w:eastAsia="Times New Roman"/>
          <w:i/>
          <w:iCs/>
          <w:lang w:eastAsia="fi-FI"/>
        </w:rPr>
        <w:t>Tc</w:t>
      </w:r>
      <w:r w:rsidRPr="004872F0">
        <w:rPr>
          <w:rFonts w:eastAsia="Times New Roman"/>
          <w:lang w:eastAsia="fi-FI"/>
        </w:rPr>
        <w:t> definition, there are two other limiting factors for the maximum carrier bandwidth, as shown in </w:t>
      </w:r>
      <w:r w:rsidRPr="004872F0">
        <w:rPr>
          <w:rFonts w:eastAsia="Times New Roman"/>
          <w:color w:val="000000"/>
          <w:shd w:val="clear" w:color="auto" w:fill="E1E3E6"/>
          <w:lang w:eastAsia="fi-FI"/>
        </w:rPr>
        <w:t>Table 1</w:t>
      </w:r>
      <w:r w:rsidRPr="004872F0">
        <w:rPr>
          <w:rFonts w:eastAsia="Times New Roman"/>
          <w:lang w:eastAsia="fi-FI"/>
        </w:rPr>
        <w:t>. </w:t>
      </w:r>
    </w:p>
    <w:p w14:paraId="4ECA9380" w14:textId="77777777" w:rsidR="00CF180E" w:rsidRPr="004872F0" w:rsidRDefault="00CF180E" w:rsidP="00CF180E">
      <w:pPr>
        <w:spacing w:after="0"/>
        <w:textAlignment w:val="baseline"/>
        <w:rPr>
          <w:rFonts w:eastAsia="Times New Roman"/>
          <w:lang w:eastAsia="fi-FI"/>
        </w:rPr>
      </w:pPr>
    </w:p>
    <w:p w14:paraId="41B3E7C4" w14:textId="77777777" w:rsidR="00CF180E" w:rsidRPr="004872F0" w:rsidRDefault="00CF180E" w:rsidP="004872F0">
      <w:pPr>
        <w:spacing w:after="0"/>
        <w:ind w:firstLine="284"/>
        <w:textAlignment w:val="baseline"/>
        <w:rPr>
          <w:rFonts w:eastAsia="Times New Roman"/>
          <w:b/>
          <w:bCs/>
          <w:lang w:eastAsia="fi-FI"/>
        </w:rPr>
      </w:pPr>
      <w:r w:rsidRPr="004872F0">
        <w:rPr>
          <w:rFonts w:eastAsia="Times New Roman"/>
          <w:b/>
          <w:bCs/>
          <w:lang w:eastAsia="fi-FI"/>
        </w:rPr>
        <w:t>Table </w:t>
      </w:r>
      <w:r w:rsidRPr="004872F0">
        <w:rPr>
          <w:rFonts w:eastAsia="Times New Roman"/>
          <w:b/>
          <w:bCs/>
          <w:color w:val="000000"/>
          <w:shd w:val="clear" w:color="auto" w:fill="E1E3E6"/>
          <w:lang w:eastAsia="fi-FI"/>
        </w:rPr>
        <w:t>1</w:t>
      </w:r>
      <w:r w:rsidRPr="004872F0">
        <w:rPr>
          <w:rFonts w:eastAsia="Times New Roman"/>
          <w:b/>
          <w:bCs/>
          <w:lang w:eastAsia="fi-FI"/>
        </w:rPr>
        <w:t>. Limiting factors for maximum carrier bandwidth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25"/>
        <w:gridCol w:w="2970"/>
        <w:gridCol w:w="3105"/>
      </w:tblGrid>
      <w:tr w:rsidR="00CF180E" w:rsidRPr="008434A2" w14:paraId="562BE2E4" w14:textId="77777777" w:rsidTr="00CF180E">
        <w:tc>
          <w:tcPr>
            <w:tcW w:w="3525" w:type="dxa"/>
            <w:vMerge w:val="restart"/>
            <w:tcBorders>
              <w:top w:val="single" w:sz="6" w:space="0" w:color="auto"/>
              <w:left w:val="single" w:sz="6" w:space="0" w:color="auto"/>
              <w:bottom w:val="single" w:sz="6" w:space="0" w:color="auto"/>
              <w:right w:val="single" w:sz="6" w:space="0" w:color="auto"/>
            </w:tcBorders>
            <w:shd w:val="clear" w:color="auto" w:fill="D9D9D9"/>
            <w:hideMark/>
          </w:tcPr>
          <w:p w14:paraId="2DCF14E9" w14:textId="77777777" w:rsidR="00CF180E" w:rsidRPr="004872F0" w:rsidRDefault="00CF180E" w:rsidP="00CF180E">
            <w:pPr>
              <w:spacing w:after="0"/>
              <w:textAlignment w:val="baseline"/>
              <w:rPr>
                <w:rFonts w:eastAsia="Times New Roman"/>
                <w:lang w:val="fi-FI" w:eastAsia="fi-FI"/>
              </w:rPr>
            </w:pPr>
            <w:r w:rsidRPr="004872F0">
              <w:rPr>
                <w:rFonts w:eastAsia="Times New Roman"/>
                <w:lang w:eastAsia="fi-FI"/>
              </w:rPr>
              <w:t>Limiting factor</w:t>
            </w:r>
            <w:r w:rsidRPr="004872F0">
              <w:rPr>
                <w:rFonts w:eastAsia="Times New Roman"/>
                <w:lang w:val="fi-FI" w:eastAsia="fi-FI"/>
              </w:rPr>
              <w:t> </w:t>
            </w:r>
          </w:p>
        </w:tc>
        <w:tc>
          <w:tcPr>
            <w:tcW w:w="6075" w:type="dxa"/>
            <w:gridSpan w:val="2"/>
            <w:tcBorders>
              <w:top w:val="single" w:sz="6" w:space="0" w:color="auto"/>
              <w:left w:val="outset" w:sz="6" w:space="0" w:color="auto"/>
              <w:bottom w:val="single" w:sz="6" w:space="0" w:color="auto"/>
              <w:right w:val="single" w:sz="6" w:space="0" w:color="auto"/>
            </w:tcBorders>
            <w:shd w:val="clear" w:color="auto" w:fill="D9D9D9"/>
            <w:hideMark/>
          </w:tcPr>
          <w:p w14:paraId="7C61FCCB" w14:textId="77777777" w:rsidR="00CF180E" w:rsidRPr="004872F0" w:rsidRDefault="00CF180E" w:rsidP="00CF180E">
            <w:pPr>
              <w:spacing w:after="0"/>
              <w:textAlignment w:val="baseline"/>
              <w:rPr>
                <w:rFonts w:eastAsia="Times New Roman"/>
                <w:lang w:val="fi-FI" w:eastAsia="fi-FI"/>
              </w:rPr>
            </w:pPr>
            <w:r w:rsidRPr="004872F0">
              <w:rPr>
                <w:rFonts w:eastAsia="Times New Roman"/>
                <w:lang w:eastAsia="fi-FI"/>
              </w:rPr>
              <w:t>Analysis</w:t>
            </w:r>
            <w:r w:rsidRPr="004872F0">
              <w:rPr>
                <w:rFonts w:eastAsia="Times New Roman"/>
                <w:lang w:val="fi-FI" w:eastAsia="fi-FI"/>
              </w:rPr>
              <w:t> </w:t>
            </w:r>
          </w:p>
        </w:tc>
      </w:tr>
      <w:tr w:rsidR="00CF180E" w:rsidRPr="008434A2" w14:paraId="2AEE7A8C" w14:textId="77777777" w:rsidTr="00CF180E">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CAC3B70" w14:textId="77777777" w:rsidR="00CF180E" w:rsidRPr="004872F0" w:rsidRDefault="00CF180E" w:rsidP="00CF180E">
            <w:pPr>
              <w:spacing w:after="0"/>
              <w:rPr>
                <w:rFonts w:eastAsia="Times New Roman"/>
                <w:lang w:val="fi-FI" w:eastAsia="fi-FI"/>
              </w:rPr>
            </w:pPr>
          </w:p>
        </w:tc>
        <w:tc>
          <w:tcPr>
            <w:tcW w:w="2970" w:type="dxa"/>
            <w:tcBorders>
              <w:top w:val="outset" w:sz="6" w:space="0" w:color="auto"/>
              <w:left w:val="outset" w:sz="6" w:space="0" w:color="auto"/>
              <w:bottom w:val="single" w:sz="6" w:space="0" w:color="auto"/>
              <w:right w:val="single" w:sz="6" w:space="0" w:color="auto"/>
            </w:tcBorders>
            <w:shd w:val="clear" w:color="auto" w:fill="D9D9D9"/>
            <w:hideMark/>
          </w:tcPr>
          <w:p w14:paraId="26712622" w14:textId="77777777" w:rsidR="00CF180E" w:rsidRPr="004872F0" w:rsidRDefault="00CF180E" w:rsidP="00CF180E">
            <w:pPr>
              <w:spacing w:after="0"/>
              <w:textAlignment w:val="baseline"/>
              <w:rPr>
                <w:rFonts w:eastAsia="Times New Roman"/>
                <w:lang w:val="fi-FI" w:eastAsia="fi-FI"/>
              </w:rPr>
            </w:pPr>
            <w:r w:rsidRPr="004872F0">
              <w:rPr>
                <w:rFonts w:eastAsia="Times New Roman"/>
                <w:lang w:eastAsia="fi-FI"/>
              </w:rPr>
              <w:t>480 kHz SCS</w:t>
            </w:r>
            <w:r w:rsidRPr="004872F0">
              <w:rPr>
                <w:rFonts w:eastAsia="Times New Roman"/>
                <w:lang w:val="fi-FI" w:eastAsia="fi-FI"/>
              </w:rPr>
              <w:t> </w:t>
            </w:r>
          </w:p>
        </w:tc>
        <w:tc>
          <w:tcPr>
            <w:tcW w:w="3105" w:type="dxa"/>
            <w:tcBorders>
              <w:top w:val="outset" w:sz="6" w:space="0" w:color="auto"/>
              <w:left w:val="outset" w:sz="6" w:space="0" w:color="auto"/>
              <w:bottom w:val="single" w:sz="6" w:space="0" w:color="auto"/>
              <w:right w:val="single" w:sz="6" w:space="0" w:color="auto"/>
            </w:tcBorders>
            <w:shd w:val="clear" w:color="auto" w:fill="D9D9D9"/>
            <w:hideMark/>
          </w:tcPr>
          <w:p w14:paraId="5DD0B64C" w14:textId="77777777" w:rsidR="00CF180E" w:rsidRPr="004872F0" w:rsidRDefault="00CF180E" w:rsidP="00CF180E">
            <w:pPr>
              <w:spacing w:after="0"/>
              <w:textAlignment w:val="baseline"/>
              <w:rPr>
                <w:rFonts w:eastAsia="Times New Roman"/>
                <w:lang w:val="fi-FI" w:eastAsia="fi-FI"/>
              </w:rPr>
            </w:pPr>
            <w:r w:rsidRPr="004872F0">
              <w:rPr>
                <w:rFonts w:eastAsia="Times New Roman"/>
                <w:lang w:eastAsia="fi-FI"/>
              </w:rPr>
              <w:t>960 kHz SCS</w:t>
            </w:r>
            <w:r w:rsidRPr="004872F0">
              <w:rPr>
                <w:rFonts w:eastAsia="Times New Roman"/>
                <w:lang w:val="fi-FI" w:eastAsia="fi-FI"/>
              </w:rPr>
              <w:t> </w:t>
            </w:r>
          </w:p>
        </w:tc>
      </w:tr>
      <w:tr w:rsidR="00CF180E" w:rsidRPr="008434A2" w14:paraId="42574A24" w14:textId="77777777" w:rsidTr="00CF180E">
        <w:tc>
          <w:tcPr>
            <w:tcW w:w="3525" w:type="dxa"/>
            <w:tcBorders>
              <w:top w:val="outset" w:sz="6" w:space="0" w:color="auto"/>
              <w:left w:val="single" w:sz="6" w:space="0" w:color="auto"/>
              <w:bottom w:val="single" w:sz="6" w:space="0" w:color="auto"/>
              <w:right w:val="single" w:sz="6" w:space="0" w:color="auto"/>
            </w:tcBorders>
            <w:shd w:val="clear" w:color="auto" w:fill="auto"/>
            <w:hideMark/>
          </w:tcPr>
          <w:p w14:paraId="19E006C8" w14:textId="4F646F92" w:rsidR="00CF180E" w:rsidRPr="004872F0" w:rsidRDefault="00CF180E" w:rsidP="00CF180E">
            <w:pPr>
              <w:numPr>
                <w:ilvl w:val="0"/>
                <w:numId w:val="24"/>
              </w:numPr>
              <w:spacing w:after="0"/>
              <w:ind w:left="270" w:firstLine="0"/>
              <w:textAlignment w:val="baseline"/>
              <w:rPr>
                <w:rFonts w:eastAsia="Times New Roman"/>
                <w:lang w:eastAsia="fi-FI"/>
              </w:rPr>
            </w:pPr>
            <w:r w:rsidRPr="004872F0">
              <w:rPr>
                <w:rFonts w:eastAsia="Times New Roman"/>
                <w:lang w:eastAsia="fi-FI"/>
              </w:rPr>
              <w:t>Revised WID </w:t>
            </w:r>
            <w:r w:rsidRPr="004872F0">
              <w:rPr>
                <w:rFonts w:eastAsia="Times New Roman"/>
                <w:color w:val="000000"/>
                <w:shd w:val="clear" w:color="auto" w:fill="E1E3E6"/>
                <w:lang w:eastAsia="fi-FI"/>
              </w:rPr>
              <w:t>[3]</w:t>
            </w:r>
            <w:r w:rsidRPr="004872F0">
              <w:rPr>
                <w:rFonts w:eastAsia="Times New Roman"/>
                <w:lang w:eastAsia="fi-FI"/>
              </w:rPr>
              <w:t>: </w:t>
            </w:r>
            <w:r w:rsidRPr="004872F0">
              <w:rPr>
                <w:rFonts w:eastAsia="Times New Roman"/>
                <w:i/>
                <w:iCs/>
                <w:lang w:eastAsia="fi-FI"/>
              </w:rPr>
              <w:t>Note 3: The maximum FFT size required to operate the system in 52.6GHz-71GHz frequency is 4096, and the maximum of RBs per carrier is 275 RBs</w:t>
            </w:r>
            <w:r w:rsidRPr="004872F0">
              <w:rPr>
                <w:rFonts w:eastAsia="Times New Roman"/>
                <w:lang w:eastAsia="fi-FI"/>
              </w:rPr>
              <w:t>. </w:t>
            </w:r>
          </w:p>
          <w:p w14:paraId="4270E9CB" w14:textId="77777777" w:rsidR="00CF180E" w:rsidRPr="004872F0" w:rsidRDefault="00CF180E" w:rsidP="00CF180E">
            <w:pPr>
              <w:spacing w:after="0"/>
              <w:textAlignment w:val="baseline"/>
              <w:rPr>
                <w:rFonts w:eastAsia="Times New Roman"/>
                <w:lang w:eastAsia="fi-FI"/>
              </w:rPr>
            </w:pPr>
            <w:r w:rsidRPr="004872F0">
              <w:rPr>
                <w:rFonts w:eastAsia="Times New Roman"/>
                <w:lang w:eastAsia="fi-FI"/>
              </w:rPr>
              <w:t> </w:t>
            </w:r>
          </w:p>
        </w:tc>
        <w:tc>
          <w:tcPr>
            <w:tcW w:w="2970" w:type="dxa"/>
            <w:tcBorders>
              <w:top w:val="outset" w:sz="6" w:space="0" w:color="auto"/>
              <w:left w:val="outset" w:sz="6" w:space="0" w:color="auto"/>
              <w:bottom w:val="single" w:sz="6" w:space="0" w:color="auto"/>
              <w:right w:val="single" w:sz="6" w:space="0" w:color="auto"/>
            </w:tcBorders>
            <w:shd w:val="clear" w:color="auto" w:fill="auto"/>
            <w:hideMark/>
          </w:tcPr>
          <w:p w14:paraId="00C5E100" w14:textId="77777777" w:rsidR="00CF180E" w:rsidRPr="004872F0" w:rsidRDefault="00CF180E" w:rsidP="00CF180E">
            <w:pPr>
              <w:spacing w:after="0"/>
              <w:textAlignment w:val="baseline"/>
              <w:rPr>
                <w:rFonts w:eastAsia="Times New Roman"/>
                <w:lang w:eastAsia="fi-FI"/>
              </w:rPr>
            </w:pPr>
            <w:r w:rsidRPr="004872F0">
              <w:rPr>
                <w:rFonts w:eastAsia="Times New Roman"/>
                <w:lang w:eastAsia="fi-FI"/>
              </w:rPr>
              <w:t>This is a limiting factor  </w:t>
            </w:r>
          </w:p>
          <w:p w14:paraId="42555EB8" w14:textId="77777777" w:rsidR="00CF180E" w:rsidRPr="004872F0" w:rsidRDefault="00CF180E" w:rsidP="00CF180E">
            <w:pPr>
              <w:spacing w:after="0"/>
              <w:textAlignment w:val="baseline"/>
              <w:rPr>
                <w:rFonts w:eastAsia="Times New Roman"/>
                <w:lang w:eastAsia="fi-FI"/>
              </w:rPr>
            </w:pPr>
            <w:r w:rsidRPr="004872F0">
              <w:rPr>
                <w:rFonts w:eastAsia="Times New Roman"/>
                <w:lang w:eastAsia="fi-FI"/>
              </w:rPr>
              <w:t>since it’s possible to support up-to 1.6 GHz carrier bandwidth with 275 RBs </w:t>
            </w:r>
          </w:p>
        </w:tc>
        <w:tc>
          <w:tcPr>
            <w:tcW w:w="3105" w:type="dxa"/>
            <w:tcBorders>
              <w:top w:val="outset" w:sz="6" w:space="0" w:color="auto"/>
              <w:left w:val="outset" w:sz="6" w:space="0" w:color="auto"/>
              <w:bottom w:val="single" w:sz="6" w:space="0" w:color="auto"/>
              <w:right w:val="single" w:sz="6" w:space="0" w:color="auto"/>
            </w:tcBorders>
            <w:shd w:val="clear" w:color="auto" w:fill="auto"/>
            <w:hideMark/>
          </w:tcPr>
          <w:p w14:paraId="601F88A4" w14:textId="77777777" w:rsidR="00CF180E" w:rsidRPr="004872F0" w:rsidRDefault="00CF180E" w:rsidP="00CF180E">
            <w:pPr>
              <w:spacing w:after="0"/>
              <w:textAlignment w:val="baseline"/>
              <w:rPr>
                <w:rFonts w:eastAsia="Times New Roman"/>
                <w:lang w:eastAsia="fi-FI"/>
              </w:rPr>
            </w:pPr>
            <w:r w:rsidRPr="004872F0">
              <w:rPr>
                <w:rFonts w:eastAsia="Times New Roman"/>
                <w:lang w:eastAsia="fi-FI"/>
              </w:rPr>
              <w:t>This is not a limiting factor  </w:t>
            </w:r>
          </w:p>
          <w:p w14:paraId="34C9F20A" w14:textId="77777777" w:rsidR="00CF180E" w:rsidRPr="004872F0" w:rsidRDefault="00CF180E" w:rsidP="00CF180E">
            <w:pPr>
              <w:spacing w:after="0"/>
              <w:textAlignment w:val="baseline"/>
              <w:rPr>
                <w:rFonts w:eastAsia="Times New Roman"/>
                <w:lang w:eastAsia="fi-FI"/>
              </w:rPr>
            </w:pPr>
            <w:r w:rsidRPr="004872F0">
              <w:rPr>
                <w:rFonts w:eastAsia="Times New Roman"/>
                <w:lang w:eastAsia="fi-FI"/>
              </w:rPr>
              <w:t>since it’s possible to support up-to 3.6 GHz carrier bandwidth with 275 RBs </w:t>
            </w:r>
          </w:p>
        </w:tc>
      </w:tr>
      <w:tr w:rsidR="00CF180E" w:rsidRPr="008434A2" w14:paraId="1E7D8AB3" w14:textId="77777777" w:rsidTr="00CF180E">
        <w:tc>
          <w:tcPr>
            <w:tcW w:w="3525" w:type="dxa"/>
            <w:tcBorders>
              <w:top w:val="outset" w:sz="6" w:space="0" w:color="auto"/>
              <w:left w:val="single" w:sz="6" w:space="0" w:color="auto"/>
              <w:bottom w:val="single" w:sz="6" w:space="0" w:color="auto"/>
              <w:right w:val="single" w:sz="6" w:space="0" w:color="auto"/>
            </w:tcBorders>
            <w:shd w:val="clear" w:color="auto" w:fill="auto"/>
            <w:hideMark/>
          </w:tcPr>
          <w:p w14:paraId="29C41F1F" w14:textId="0F9B6034" w:rsidR="00CF180E" w:rsidRPr="004872F0" w:rsidRDefault="00CF180E" w:rsidP="00CF180E">
            <w:pPr>
              <w:numPr>
                <w:ilvl w:val="0"/>
                <w:numId w:val="25"/>
              </w:numPr>
              <w:spacing w:after="0"/>
              <w:ind w:left="270" w:firstLine="0"/>
              <w:textAlignment w:val="baseline"/>
              <w:rPr>
                <w:rFonts w:eastAsia="Times New Roman"/>
                <w:lang w:eastAsia="fi-FI"/>
              </w:rPr>
            </w:pPr>
            <w:r w:rsidRPr="004872F0">
              <w:rPr>
                <w:rFonts w:eastAsia="Times New Roman"/>
                <w:lang w:eastAsia="fi-FI"/>
              </w:rPr>
              <w:t>TR 38.808 </w:t>
            </w:r>
            <w:r w:rsidRPr="004872F0">
              <w:rPr>
                <w:rFonts w:eastAsia="Times New Roman"/>
                <w:color w:val="000000"/>
                <w:shd w:val="clear" w:color="auto" w:fill="E1E3E6"/>
                <w:lang w:eastAsia="fi-FI"/>
              </w:rPr>
              <w:t>[9]</w:t>
            </w:r>
            <w:r w:rsidRPr="004872F0">
              <w:rPr>
                <w:rFonts w:eastAsia="Times New Roman"/>
                <w:color w:val="000000"/>
                <w:lang w:eastAsia="fi-FI"/>
              </w:rPr>
              <w:t>: </w:t>
            </w:r>
            <w:r w:rsidRPr="004872F0">
              <w:rPr>
                <w:rFonts w:eastAsia="Times New Roman"/>
                <w:i/>
                <w:iCs/>
                <w:lang w:eastAsia="fi-FI"/>
              </w:rPr>
              <w:t>The candidate supported maximum carrier bandwidth(s) for a cell should be between 400 MHz and 2160 MHz</w:t>
            </w:r>
            <w:r w:rsidRPr="004872F0">
              <w:rPr>
                <w:rFonts w:eastAsia="Times New Roman"/>
                <w:lang w:eastAsia="fi-FI"/>
              </w:rPr>
              <w:t>”  </w:t>
            </w:r>
          </w:p>
          <w:p w14:paraId="63EAAC25" w14:textId="77777777" w:rsidR="00CF180E" w:rsidRPr="004872F0" w:rsidRDefault="00CF180E" w:rsidP="00CF180E">
            <w:pPr>
              <w:spacing w:after="0"/>
              <w:textAlignment w:val="baseline"/>
              <w:rPr>
                <w:rFonts w:eastAsia="Times New Roman"/>
                <w:lang w:eastAsia="fi-FI"/>
              </w:rPr>
            </w:pPr>
            <w:r w:rsidRPr="004872F0">
              <w:rPr>
                <w:rFonts w:eastAsia="Times New Roman"/>
                <w:lang w:eastAsia="fi-FI"/>
              </w:rPr>
              <w:t> </w:t>
            </w:r>
          </w:p>
        </w:tc>
        <w:tc>
          <w:tcPr>
            <w:tcW w:w="6075" w:type="dxa"/>
            <w:gridSpan w:val="2"/>
            <w:tcBorders>
              <w:top w:val="outset" w:sz="6" w:space="0" w:color="auto"/>
              <w:left w:val="outset" w:sz="6" w:space="0" w:color="auto"/>
              <w:bottom w:val="single" w:sz="6" w:space="0" w:color="auto"/>
              <w:right w:val="single" w:sz="6" w:space="0" w:color="auto"/>
            </w:tcBorders>
            <w:shd w:val="clear" w:color="auto" w:fill="auto"/>
            <w:hideMark/>
          </w:tcPr>
          <w:p w14:paraId="3CDAF703" w14:textId="77777777" w:rsidR="00CF180E" w:rsidRPr="004872F0" w:rsidRDefault="00CF180E" w:rsidP="00CF180E">
            <w:pPr>
              <w:spacing w:after="0"/>
              <w:textAlignment w:val="baseline"/>
              <w:rPr>
                <w:rFonts w:eastAsia="Times New Roman"/>
                <w:lang w:eastAsia="fi-FI"/>
              </w:rPr>
            </w:pPr>
            <w:r w:rsidRPr="004872F0">
              <w:rPr>
                <w:rFonts w:eastAsia="Times New Roman"/>
                <w:lang w:eastAsia="fi-FI"/>
              </w:rPr>
              <w:t>2160 MHz should be considered as an upper limit.  </w:t>
            </w:r>
          </w:p>
          <w:p w14:paraId="3742F353" w14:textId="77777777" w:rsidR="00CF180E" w:rsidRPr="004872F0" w:rsidRDefault="00CF180E" w:rsidP="00CF180E">
            <w:pPr>
              <w:spacing w:after="0"/>
              <w:textAlignment w:val="baseline"/>
              <w:rPr>
                <w:rFonts w:eastAsia="Times New Roman"/>
                <w:lang w:eastAsia="fi-FI"/>
              </w:rPr>
            </w:pPr>
            <w:r w:rsidRPr="004872F0">
              <w:rPr>
                <w:rFonts w:eastAsia="Times New Roman"/>
                <w:lang w:eastAsia="fi-FI"/>
              </w:rPr>
              <w:t> </w:t>
            </w:r>
          </w:p>
        </w:tc>
      </w:tr>
      <w:tr w:rsidR="00CF180E" w:rsidRPr="008434A2" w14:paraId="5C372F87" w14:textId="77777777" w:rsidTr="00CF180E">
        <w:tc>
          <w:tcPr>
            <w:tcW w:w="3525" w:type="dxa"/>
            <w:tcBorders>
              <w:top w:val="outset" w:sz="6" w:space="0" w:color="auto"/>
              <w:left w:val="single" w:sz="6" w:space="0" w:color="auto"/>
              <w:bottom w:val="single" w:sz="6" w:space="0" w:color="auto"/>
              <w:right w:val="single" w:sz="6" w:space="0" w:color="auto"/>
            </w:tcBorders>
            <w:shd w:val="clear" w:color="auto" w:fill="auto"/>
            <w:hideMark/>
          </w:tcPr>
          <w:p w14:paraId="513EBCCF" w14:textId="77777777" w:rsidR="00CF180E" w:rsidRPr="004872F0" w:rsidRDefault="00CF180E" w:rsidP="00CF180E">
            <w:pPr>
              <w:numPr>
                <w:ilvl w:val="0"/>
                <w:numId w:val="26"/>
              </w:numPr>
              <w:spacing w:after="0"/>
              <w:ind w:left="270" w:firstLine="0"/>
              <w:textAlignment w:val="baseline"/>
              <w:rPr>
                <w:rFonts w:eastAsia="Times New Roman"/>
                <w:lang w:val="fi-FI" w:eastAsia="fi-FI"/>
              </w:rPr>
            </w:pPr>
            <w:r w:rsidRPr="004872F0">
              <w:rPr>
                <w:rFonts w:eastAsia="Times New Roman"/>
                <w:lang w:eastAsia="fi-FI"/>
              </w:rPr>
              <w:t>Sampling rate</w:t>
            </w:r>
            <w:r w:rsidRPr="004872F0">
              <w:rPr>
                <w:rFonts w:eastAsia="Times New Roman"/>
                <w:lang w:val="fi-FI" w:eastAsia="fi-FI"/>
              </w:rPr>
              <w:t> </w:t>
            </w:r>
          </w:p>
        </w:tc>
        <w:tc>
          <w:tcPr>
            <w:tcW w:w="6075" w:type="dxa"/>
            <w:gridSpan w:val="2"/>
            <w:tcBorders>
              <w:top w:val="outset" w:sz="6" w:space="0" w:color="auto"/>
              <w:left w:val="outset" w:sz="6" w:space="0" w:color="auto"/>
              <w:bottom w:val="single" w:sz="6" w:space="0" w:color="auto"/>
              <w:right w:val="single" w:sz="6" w:space="0" w:color="auto"/>
            </w:tcBorders>
            <w:shd w:val="clear" w:color="auto" w:fill="auto"/>
            <w:hideMark/>
          </w:tcPr>
          <w:p w14:paraId="6EDE2B7C" w14:textId="77777777" w:rsidR="00CF180E" w:rsidRPr="004872F0" w:rsidRDefault="00CF180E" w:rsidP="00CF180E">
            <w:pPr>
              <w:spacing w:after="0"/>
              <w:textAlignment w:val="baseline"/>
              <w:rPr>
                <w:rFonts w:eastAsia="Times New Roman"/>
                <w:lang w:val="fi-FI" w:eastAsia="fi-FI"/>
              </w:rPr>
            </w:pPr>
            <w:r w:rsidRPr="004872F0">
              <w:rPr>
                <w:rFonts w:eastAsia="Times New Roman"/>
                <w:lang w:eastAsia="fi-FI"/>
              </w:rPr>
              <w:t>Maximum bandwidth defined by current specification is 1.966 GHz. This is not a hard limit.</w:t>
            </w:r>
            <w:r w:rsidRPr="004872F0">
              <w:rPr>
                <w:rFonts w:eastAsia="Times New Roman"/>
                <w:lang w:val="fi-FI" w:eastAsia="fi-FI"/>
              </w:rPr>
              <w:t> </w:t>
            </w:r>
          </w:p>
        </w:tc>
      </w:tr>
    </w:tbl>
    <w:p w14:paraId="4C273512" w14:textId="77777777" w:rsidR="00CF180E" w:rsidRPr="007E4E13" w:rsidRDefault="00CF180E" w:rsidP="00CF180E">
      <w:pPr>
        <w:spacing w:after="0"/>
        <w:textAlignment w:val="baseline"/>
        <w:rPr>
          <w:rFonts w:eastAsia="Times New Roman"/>
          <w:lang w:val="fi-FI" w:eastAsia="fi-FI"/>
        </w:rPr>
      </w:pPr>
      <w:r w:rsidRPr="004872F0">
        <w:rPr>
          <w:rFonts w:eastAsia="Times New Roman"/>
          <w:lang w:val="fi-FI" w:eastAsia="fi-FI"/>
        </w:rPr>
        <w:t> </w:t>
      </w:r>
    </w:p>
    <w:p w14:paraId="172BC404" w14:textId="0FADC9CD" w:rsidR="00CF180E" w:rsidRPr="004872F0" w:rsidRDefault="00CF180E" w:rsidP="00CF180E">
      <w:pPr>
        <w:spacing w:after="0"/>
        <w:textAlignment w:val="baseline"/>
        <w:rPr>
          <w:rFonts w:eastAsia="Times New Roman"/>
          <w:lang w:eastAsia="fi-FI"/>
        </w:rPr>
      </w:pPr>
      <w:r w:rsidRPr="004872F0">
        <w:rPr>
          <w:rFonts w:eastAsia="Times New Roman"/>
          <w:lang w:eastAsia="fi-FI"/>
        </w:rPr>
        <w:t>It can be noted that for 480 kHz SCS, the maximum carrier bandwidth is limited by the maximum of RBs per carrier (=</w:t>
      </w:r>
      <w:r w:rsidRPr="004872F0">
        <w:rPr>
          <w:rFonts w:eastAsia="Times New Roman"/>
          <w:b/>
          <w:bCs/>
          <w:lang w:eastAsia="fi-FI"/>
        </w:rPr>
        <w:t>275</w:t>
      </w:r>
      <w:r w:rsidRPr="004872F0">
        <w:rPr>
          <w:rFonts w:eastAsia="Times New Roman"/>
          <w:lang w:eastAsia="fi-FI"/>
        </w:rPr>
        <w:t>). The maximum BW for 480 kHz SCS is obtained as </w:t>
      </w:r>
      <w:r w:rsidRPr="004872F0">
        <w:rPr>
          <w:rFonts w:eastAsia="Times New Roman"/>
          <w:b/>
          <w:bCs/>
          <w:lang w:eastAsia="fi-FI"/>
        </w:rPr>
        <w:t>275</w:t>
      </w:r>
      <w:r w:rsidRPr="004872F0">
        <w:rPr>
          <w:rFonts w:eastAsia="Times New Roman"/>
          <w:lang w:eastAsia="fi-FI"/>
        </w:rPr>
        <w:t>·12·0.48 MHz = 1584 </w:t>
      </w:r>
      <w:proofErr w:type="spellStart"/>
      <w:r w:rsidRPr="004872F0">
        <w:rPr>
          <w:rFonts w:eastAsia="Times New Roman"/>
          <w:lang w:eastAsia="fi-FI"/>
        </w:rPr>
        <w:t>MHz</w:t>
      </w:r>
      <w:r w:rsidR="002656C8">
        <w:rPr>
          <w:rFonts w:eastAsia="Times New Roman"/>
          <w:lang w:eastAsia="fi-FI"/>
        </w:rPr>
        <w:t>.</w:t>
      </w:r>
      <w:proofErr w:type="spellEnd"/>
      <w:r w:rsidRPr="004872F0">
        <w:rPr>
          <w:rFonts w:eastAsia="Times New Roman"/>
          <w:lang w:eastAsia="fi-FI"/>
        </w:rPr>
        <w:t> </w:t>
      </w:r>
    </w:p>
    <w:p w14:paraId="050B8414" w14:textId="77777777" w:rsidR="00CF180E" w:rsidRPr="004872F0" w:rsidRDefault="00CF180E" w:rsidP="00CF180E">
      <w:pPr>
        <w:spacing w:after="0"/>
        <w:textAlignment w:val="baseline"/>
        <w:rPr>
          <w:rFonts w:eastAsia="Times New Roman"/>
          <w:lang w:eastAsia="fi-FI"/>
        </w:rPr>
      </w:pPr>
      <w:r w:rsidRPr="004872F0">
        <w:rPr>
          <w:rFonts w:eastAsia="Times New Roman"/>
          <w:lang w:eastAsia="fi-FI"/>
        </w:rPr>
        <w:t> </w:t>
      </w:r>
    </w:p>
    <w:p w14:paraId="25D6B6B4" w14:textId="5221B6CD" w:rsidR="00CF180E" w:rsidRPr="004872F0" w:rsidRDefault="00CF180E" w:rsidP="00CF180E">
      <w:pPr>
        <w:spacing w:after="0"/>
        <w:textAlignment w:val="baseline"/>
        <w:rPr>
          <w:rFonts w:eastAsia="Times New Roman"/>
          <w:lang w:eastAsia="fi-FI"/>
        </w:rPr>
      </w:pPr>
      <w:r w:rsidRPr="004872F0">
        <w:rPr>
          <w:rFonts w:eastAsia="Times New Roman"/>
          <w:lang w:eastAsia="fi-FI"/>
        </w:rPr>
        <w:t>Taking into account all three limiting factors in </w:t>
      </w:r>
      <w:r w:rsidRPr="004872F0">
        <w:rPr>
          <w:rFonts w:eastAsia="Times New Roman"/>
          <w:shd w:val="clear" w:color="auto" w:fill="E1E3E6"/>
          <w:lang w:eastAsia="fi-FI"/>
        </w:rPr>
        <w:t>Table 1</w:t>
      </w:r>
      <w:r w:rsidRPr="004872F0">
        <w:rPr>
          <w:rFonts w:eastAsia="Times New Roman"/>
          <w:lang w:eastAsia="fi-FI"/>
        </w:rPr>
        <w:t>, the current specifications </w:t>
      </w:r>
      <w:r w:rsidRPr="004872F0">
        <w:rPr>
          <w:rFonts w:eastAsia="Times New Roman"/>
          <w:u w:val="single"/>
          <w:lang w:eastAsia="fi-FI"/>
        </w:rPr>
        <w:t>could </w:t>
      </w:r>
      <w:r w:rsidRPr="004872F0">
        <w:rPr>
          <w:rFonts w:eastAsia="Times New Roman"/>
          <w:lang w:eastAsia="fi-FI"/>
        </w:rPr>
        <w:t>support up-to 2 GHz BW with scalable subcarrier spacing and 960 kHz SCS. However, the sampling rate limit can be seen as an artificial limit which can be solved by proper specification updates, e.g. by doubling the sampling rate. This would allow reaching the 2.16 GHz bandwidth which is the upper limit for the maximum carrier bandwidth based on the TR.  </w:t>
      </w:r>
    </w:p>
    <w:p w14:paraId="392BDD26" w14:textId="77777777" w:rsidR="00CF180E" w:rsidRPr="004872F0" w:rsidRDefault="00CF180E" w:rsidP="00CF180E">
      <w:pPr>
        <w:spacing w:after="0"/>
        <w:textAlignment w:val="baseline"/>
        <w:rPr>
          <w:rFonts w:eastAsia="Times New Roman"/>
          <w:lang w:eastAsia="fi-FI"/>
        </w:rPr>
      </w:pPr>
      <w:r w:rsidRPr="004872F0">
        <w:rPr>
          <w:rFonts w:eastAsia="Times New Roman"/>
          <w:lang w:eastAsia="fi-FI"/>
        </w:rPr>
        <w:t> </w:t>
      </w:r>
    </w:p>
    <w:p w14:paraId="5ABBA880" w14:textId="11C8973E" w:rsidR="00CF180E" w:rsidRPr="004872F0" w:rsidRDefault="00CF180E" w:rsidP="00CF180E">
      <w:pPr>
        <w:spacing w:after="0"/>
        <w:textAlignment w:val="baseline"/>
        <w:rPr>
          <w:rFonts w:eastAsia="Times New Roman"/>
          <w:lang w:eastAsia="fi-FI"/>
        </w:rPr>
      </w:pPr>
      <w:r w:rsidRPr="004872F0">
        <w:rPr>
          <w:rFonts w:eastAsia="Times New Roman"/>
          <w:lang w:eastAsia="fi-FI"/>
        </w:rPr>
        <w:t>Spectrum utilization is another factor that needs to be considered. FR2 supports up-to 264 RBs with 120 kHz SCS and 400 MHz CBW, which corresponds to 95% spectrum utilization.  Table 2 compares the spectrum utilization for three different options with 960 kHz SCS and 2.16 GHz channel bandwidth. </w:t>
      </w:r>
    </w:p>
    <w:p w14:paraId="7CA52547" w14:textId="77777777" w:rsidR="00CF180E" w:rsidRPr="004872F0" w:rsidRDefault="00CF180E" w:rsidP="00CF180E">
      <w:pPr>
        <w:spacing w:after="0"/>
        <w:textAlignment w:val="baseline"/>
        <w:rPr>
          <w:rFonts w:eastAsia="Times New Roman"/>
          <w:lang w:eastAsia="fi-FI"/>
        </w:rPr>
      </w:pPr>
    </w:p>
    <w:p w14:paraId="6C3C1369" w14:textId="00997A3E" w:rsidR="00CF180E" w:rsidRPr="004872F0" w:rsidRDefault="00CF180E" w:rsidP="00CF180E">
      <w:pPr>
        <w:spacing w:after="0"/>
        <w:textAlignment w:val="baseline"/>
        <w:rPr>
          <w:rFonts w:eastAsia="Times New Roman"/>
          <w:lang w:eastAsia="fi-FI"/>
        </w:rPr>
      </w:pPr>
      <w:r w:rsidRPr="004872F0">
        <w:rPr>
          <w:rFonts w:eastAsia="Times New Roman"/>
          <w:lang w:eastAsia="fi-FI"/>
        </w:rPr>
        <w:t>Based on the calculation, it can be noted that a new sampling rate can support up-to 10% increase in the peak data rate (and peak spectrum efficiency) when operating according to 960 kHz subcarrier spacing and 2.16 GHz channelization.  However, when taking into account realistic spectrum utilization, it’s possible to support up-to 180 RBs with 960 kHz SCS and 2.16 GHz channelization.  </w:t>
      </w:r>
    </w:p>
    <w:p w14:paraId="57C185F9" w14:textId="77777777" w:rsidR="00CF180E" w:rsidRPr="004872F0" w:rsidRDefault="00CF180E" w:rsidP="00CF180E">
      <w:pPr>
        <w:spacing w:after="0"/>
        <w:textAlignment w:val="baseline"/>
        <w:rPr>
          <w:rFonts w:eastAsia="Times New Roman"/>
          <w:lang w:eastAsia="fi-FI"/>
        </w:rPr>
      </w:pPr>
      <w:r w:rsidRPr="004872F0">
        <w:rPr>
          <w:rFonts w:eastAsia="Times New Roman"/>
          <w:lang w:eastAsia="fi-FI"/>
        </w:rPr>
        <w:t> </w:t>
      </w:r>
    </w:p>
    <w:p w14:paraId="363D91C7" w14:textId="4EE86734" w:rsidR="00CF180E" w:rsidRPr="004872F0" w:rsidRDefault="00CF180E" w:rsidP="004872F0">
      <w:pPr>
        <w:spacing w:after="0"/>
        <w:ind w:firstLine="284"/>
        <w:textAlignment w:val="baseline"/>
        <w:rPr>
          <w:rFonts w:eastAsia="Times New Roman"/>
          <w:b/>
          <w:bCs/>
          <w:lang w:eastAsia="fi-FI"/>
        </w:rPr>
      </w:pPr>
      <w:r w:rsidRPr="004872F0">
        <w:rPr>
          <w:rFonts w:eastAsia="Times New Roman"/>
          <w:b/>
          <w:bCs/>
          <w:lang w:eastAsia="fi-FI"/>
        </w:rPr>
        <w:t>Table </w:t>
      </w:r>
      <w:r w:rsidRPr="004872F0">
        <w:rPr>
          <w:rFonts w:eastAsia="Times New Roman"/>
          <w:b/>
          <w:bCs/>
          <w:shd w:val="clear" w:color="auto" w:fill="E1E3E6"/>
          <w:lang w:eastAsia="fi-FI"/>
        </w:rPr>
        <w:t>2</w:t>
      </w:r>
      <w:r w:rsidRPr="004872F0">
        <w:rPr>
          <w:rFonts w:eastAsia="Times New Roman"/>
          <w:b/>
          <w:bCs/>
          <w:lang w:eastAsia="fi-FI"/>
        </w:rPr>
        <w:t>. Comparison of different options for 960 kHz SCS and 2.16 GHz channel BW </w:t>
      </w:r>
    </w:p>
    <w:tbl>
      <w:tblPr>
        <w:tblW w:w="92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25"/>
        <w:gridCol w:w="870"/>
        <w:gridCol w:w="1125"/>
        <w:gridCol w:w="1980"/>
        <w:gridCol w:w="2055"/>
      </w:tblGrid>
      <w:tr w:rsidR="00CF180E" w:rsidRPr="0033537D" w14:paraId="15073AF1" w14:textId="77777777" w:rsidTr="004872F0">
        <w:trPr>
          <w:trHeight w:val="465"/>
        </w:trPr>
        <w:tc>
          <w:tcPr>
            <w:tcW w:w="3225" w:type="dxa"/>
            <w:tcBorders>
              <w:top w:val="single" w:sz="6" w:space="0" w:color="auto"/>
              <w:left w:val="single" w:sz="6" w:space="0" w:color="auto"/>
              <w:bottom w:val="single" w:sz="6" w:space="0" w:color="auto"/>
              <w:right w:val="single" w:sz="6" w:space="0" w:color="auto"/>
            </w:tcBorders>
            <w:shd w:val="clear" w:color="auto" w:fill="D9D9D9"/>
            <w:hideMark/>
          </w:tcPr>
          <w:p w14:paraId="730E3D7B" w14:textId="77777777" w:rsidR="00CF180E" w:rsidRPr="004872F0" w:rsidRDefault="00CF180E" w:rsidP="00CF180E">
            <w:pPr>
              <w:spacing w:after="0"/>
              <w:textAlignment w:val="baseline"/>
              <w:rPr>
                <w:rFonts w:eastAsia="Times New Roman"/>
                <w:lang w:val="fi-FI" w:eastAsia="fi-FI"/>
              </w:rPr>
            </w:pPr>
            <w:r w:rsidRPr="004872F0">
              <w:rPr>
                <w:rFonts w:eastAsia="Times New Roman"/>
                <w:lang w:eastAsia="fi-FI"/>
              </w:rPr>
              <w:t>Option</w:t>
            </w:r>
            <w:r w:rsidRPr="004872F0">
              <w:rPr>
                <w:rFonts w:eastAsia="Times New Roman"/>
                <w:lang w:val="fi-FI" w:eastAsia="fi-FI"/>
              </w:rPr>
              <w:t> </w:t>
            </w:r>
          </w:p>
        </w:tc>
        <w:tc>
          <w:tcPr>
            <w:tcW w:w="870" w:type="dxa"/>
            <w:tcBorders>
              <w:top w:val="single" w:sz="6" w:space="0" w:color="auto"/>
              <w:left w:val="outset" w:sz="6" w:space="0" w:color="auto"/>
              <w:bottom w:val="single" w:sz="6" w:space="0" w:color="auto"/>
              <w:right w:val="single" w:sz="6" w:space="0" w:color="auto"/>
            </w:tcBorders>
            <w:shd w:val="clear" w:color="auto" w:fill="D9D9D9"/>
            <w:hideMark/>
          </w:tcPr>
          <w:p w14:paraId="04598EC0"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eastAsia="fi-FI"/>
              </w:rPr>
              <w:t>Number of RBs</w:t>
            </w:r>
            <w:r w:rsidRPr="004872F0">
              <w:rPr>
                <w:rFonts w:eastAsia="Times New Roman"/>
                <w:lang w:val="fi-FI" w:eastAsia="fi-FI"/>
              </w:rPr>
              <w:t> </w:t>
            </w:r>
          </w:p>
        </w:tc>
        <w:tc>
          <w:tcPr>
            <w:tcW w:w="1125" w:type="dxa"/>
            <w:tcBorders>
              <w:top w:val="single" w:sz="6" w:space="0" w:color="auto"/>
              <w:left w:val="outset" w:sz="6" w:space="0" w:color="auto"/>
              <w:bottom w:val="single" w:sz="6" w:space="0" w:color="auto"/>
              <w:right w:val="single" w:sz="6" w:space="0" w:color="auto"/>
            </w:tcBorders>
            <w:shd w:val="clear" w:color="auto" w:fill="D9D9D9"/>
            <w:hideMark/>
          </w:tcPr>
          <w:p w14:paraId="7AC600FC"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eastAsia="fi-FI"/>
              </w:rPr>
              <w:t>Tx BW </w:t>
            </w:r>
            <w:r w:rsidRPr="004872F0">
              <w:rPr>
                <w:rFonts w:eastAsia="Times New Roman"/>
                <w:lang w:val="fi-FI" w:eastAsia="fi-FI"/>
              </w:rPr>
              <w:t> </w:t>
            </w:r>
          </w:p>
          <w:p w14:paraId="1920CE51" w14:textId="03A43DED" w:rsidR="00CF180E" w:rsidRPr="004872F0" w:rsidRDefault="00CF180E" w:rsidP="00CF180E">
            <w:pPr>
              <w:spacing w:after="0"/>
              <w:jc w:val="center"/>
              <w:textAlignment w:val="baseline"/>
              <w:rPr>
                <w:rFonts w:eastAsia="Times New Roman"/>
                <w:lang w:val="fi-FI" w:eastAsia="fi-FI"/>
              </w:rPr>
            </w:pPr>
            <w:r w:rsidRPr="004872F0">
              <w:rPr>
                <w:rFonts w:eastAsia="Times New Roman"/>
                <w:lang w:eastAsia="fi-FI"/>
              </w:rPr>
              <w:t>[MHz]</w:t>
            </w:r>
            <w:r w:rsidRPr="004872F0">
              <w:rPr>
                <w:rFonts w:eastAsia="Times New Roman"/>
                <w:lang w:val="fi-FI" w:eastAsia="fi-FI"/>
              </w:rPr>
              <w:t> </w:t>
            </w:r>
          </w:p>
        </w:tc>
        <w:tc>
          <w:tcPr>
            <w:tcW w:w="1980" w:type="dxa"/>
            <w:tcBorders>
              <w:top w:val="single" w:sz="6" w:space="0" w:color="auto"/>
              <w:left w:val="outset" w:sz="6" w:space="0" w:color="auto"/>
              <w:bottom w:val="single" w:sz="6" w:space="0" w:color="auto"/>
              <w:right w:val="single" w:sz="6" w:space="0" w:color="auto"/>
            </w:tcBorders>
            <w:shd w:val="clear" w:color="auto" w:fill="D9D9D9"/>
            <w:hideMark/>
          </w:tcPr>
          <w:p w14:paraId="1A97BC31" w14:textId="1AF3522D" w:rsidR="00CF180E" w:rsidRPr="004872F0" w:rsidRDefault="00CF180E" w:rsidP="00CF180E">
            <w:pPr>
              <w:spacing w:after="0"/>
              <w:jc w:val="center"/>
              <w:textAlignment w:val="baseline"/>
              <w:rPr>
                <w:rFonts w:eastAsia="Times New Roman"/>
                <w:lang w:eastAsia="fi-FI"/>
              </w:rPr>
            </w:pPr>
            <w:r w:rsidRPr="004872F0">
              <w:rPr>
                <w:rFonts w:eastAsia="Times New Roman"/>
                <w:lang w:eastAsia="fi-FI"/>
              </w:rPr>
              <w:t>Spectrum utilization @ 2.16 GHz CBW </w:t>
            </w:r>
          </w:p>
        </w:tc>
        <w:tc>
          <w:tcPr>
            <w:tcW w:w="2055" w:type="dxa"/>
            <w:tcBorders>
              <w:top w:val="single" w:sz="6" w:space="0" w:color="auto"/>
              <w:left w:val="outset" w:sz="6" w:space="0" w:color="auto"/>
              <w:bottom w:val="single" w:sz="6" w:space="0" w:color="auto"/>
              <w:right w:val="single" w:sz="6" w:space="0" w:color="auto"/>
            </w:tcBorders>
            <w:shd w:val="clear" w:color="auto" w:fill="D9D9D9"/>
            <w:hideMark/>
          </w:tcPr>
          <w:p w14:paraId="4A1B5135" w14:textId="77777777" w:rsidR="00CF180E" w:rsidRPr="004872F0" w:rsidRDefault="00CF180E" w:rsidP="00CF180E">
            <w:pPr>
              <w:spacing w:after="0"/>
              <w:jc w:val="center"/>
              <w:textAlignment w:val="baseline"/>
              <w:rPr>
                <w:rFonts w:eastAsia="Times New Roman"/>
                <w:lang w:eastAsia="fi-FI"/>
              </w:rPr>
            </w:pPr>
            <w:r w:rsidRPr="004872F0">
              <w:rPr>
                <w:rFonts w:eastAsia="Times New Roman"/>
                <w:lang w:eastAsia="fi-FI"/>
              </w:rPr>
              <w:t>Peak data rate increase w.r.t Option 1 </w:t>
            </w:r>
          </w:p>
        </w:tc>
      </w:tr>
      <w:tr w:rsidR="00CF180E" w:rsidRPr="0033537D" w14:paraId="78C1C8DF" w14:textId="77777777" w:rsidTr="004872F0">
        <w:tc>
          <w:tcPr>
            <w:tcW w:w="3225" w:type="dxa"/>
            <w:tcBorders>
              <w:top w:val="outset" w:sz="6" w:space="0" w:color="auto"/>
              <w:left w:val="single" w:sz="6" w:space="0" w:color="auto"/>
              <w:bottom w:val="single" w:sz="6" w:space="0" w:color="auto"/>
              <w:right w:val="single" w:sz="6" w:space="0" w:color="auto"/>
            </w:tcBorders>
            <w:shd w:val="clear" w:color="auto" w:fill="auto"/>
            <w:hideMark/>
          </w:tcPr>
          <w:p w14:paraId="516CFD7A" w14:textId="77777777" w:rsidR="00CF180E" w:rsidRPr="004872F0" w:rsidRDefault="00CF180E" w:rsidP="00CF180E">
            <w:pPr>
              <w:spacing w:after="0"/>
              <w:textAlignment w:val="baseline"/>
              <w:rPr>
                <w:rFonts w:eastAsia="Times New Roman"/>
                <w:lang w:val="fi-FI" w:eastAsia="fi-FI"/>
              </w:rPr>
            </w:pPr>
            <w:r w:rsidRPr="004872F0">
              <w:rPr>
                <w:rFonts w:eastAsia="Times New Roman"/>
                <w:lang w:eastAsia="fi-FI"/>
              </w:rPr>
              <w:t>Option 1</w:t>
            </w:r>
            <w:r w:rsidRPr="004872F0">
              <w:rPr>
                <w:rFonts w:eastAsia="Times New Roman"/>
                <w:lang w:val="fi-FI" w:eastAsia="fi-FI"/>
              </w:rPr>
              <w:t> </w:t>
            </w:r>
          </w:p>
          <w:p w14:paraId="5D450790" w14:textId="77777777" w:rsidR="00CF180E" w:rsidRPr="004872F0" w:rsidRDefault="00CF180E" w:rsidP="00CF180E">
            <w:pPr>
              <w:numPr>
                <w:ilvl w:val="0"/>
                <w:numId w:val="27"/>
              </w:numPr>
              <w:spacing w:after="0"/>
              <w:ind w:left="270" w:firstLine="0"/>
              <w:textAlignment w:val="baseline"/>
              <w:rPr>
                <w:rFonts w:eastAsia="Times New Roman"/>
                <w:lang w:val="fi-FI" w:eastAsia="fi-FI"/>
              </w:rPr>
            </w:pPr>
            <w:r w:rsidRPr="004872F0">
              <w:rPr>
                <w:rFonts w:eastAsia="Times New Roman"/>
                <w:lang w:eastAsia="fi-FI"/>
              </w:rPr>
              <w:t>Current sampling rate</w:t>
            </w:r>
            <w:r w:rsidRPr="004872F0">
              <w:rPr>
                <w:rFonts w:eastAsia="Times New Roman"/>
                <w:lang w:val="fi-FI" w:eastAsia="fi-FI"/>
              </w:rPr>
              <w:t> </w:t>
            </w:r>
          </w:p>
        </w:tc>
        <w:tc>
          <w:tcPr>
            <w:tcW w:w="870" w:type="dxa"/>
            <w:tcBorders>
              <w:top w:val="outset" w:sz="6" w:space="0" w:color="auto"/>
              <w:left w:val="outset" w:sz="6" w:space="0" w:color="auto"/>
              <w:bottom w:val="single" w:sz="6" w:space="0" w:color="auto"/>
              <w:right w:val="single" w:sz="6" w:space="0" w:color="auto"/>
            </w:tcBorders>
            <w:shd w:val="clear" w:color="auto" w:fill="auto"/>
            <w:hideMark/>
          </w:tcPr>
          <w:p w14:paraId="3C3FFBC6"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val="fi-FI" w:eastAsia="fi-FI"/>
              </w:rPr>
              <w:t> </w:t>
            </w:r>
          </w:p>
          <w:p w14:paraId="7DAABA4F"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eastAsia="fi-FI"/>
              </w:rPr>
              <w:t>170</w:t>
            </w:r>
            <w:r w:rsidRPr="004872F0">
              <w:rPr>
                <w:rFonts w:eastAsia="Times New Roman"/>
                <w:lang w:val="fi-FI" w:eastAsia="fi-FI"/>
              </w:rPr>
              <w:t> </w:t>
            </w:r>
          </w:p>
        </w:tc>
        <w:tc>
          <w:tcPr>
            <w:tcW w:w="1125" w:type="dxa"/>
            <w:tcBorders>
              <w:top w:val="outset" w:sz="6" w:space="0" w:color="auto"/>
              <w:left w:val="outset" w:sz="6" w:space="0" w:color="auto"/>
              <w:bottom w:val="single" w:sz="6" w:space="0" w:color="auto"/>
              <w:right w:val="single" w:sz="6" w:space="0" w:color="auto"/>
            </w:tcBorders>
            <w:shd w:val="clear" w:color="auto" w:fill="auto"/>
            <w:hideMark/>
          </w:tcPr>
          <w:p w14:paraId="19BA71AC"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val="fi-FI" w:eastAsia="fi-FI"/>
              </w:rPr>
              <w:t> </w:t>
            </w:r>
          </w:p>
          <w:p w14:paraId="20A78876"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eastAsia="fi-FI"/>
              </w:rPr>
              <w:t>1958.4</w:t>
            </w:r>
            <w:r w:rsidRPr="004872F0">
              <w:rPr>
                <w:rFonts w:eastAsia="Times New Roman"/>
                <w:lang w:val="fi-FI" w:eastAsia="fi-FI"/>
              </w:rPr>
              <w:t> </w:t>
            </w:r>
          </w:p>
        </w:tc>
        <w:tc>
          <w:tcPr>
            <w:tcW w:w="1980" w:type="dxa"/>
            <w:tcBorders>
              <w:top w:val="outset" w:sz="6" w:space="0" w:color="auto"/>
              <w:left w:val="outset" w:sz="6" w:space="0" w:color="auto"/>
              <w:bottom w:val="single" w:sz="6" w:space="0" w:color="auto"/>
              <w:right w:val="single" w:sz="6" w:space="0" w:color="auto"/>
            </w:tcBorders>
            <w:shd w:val="clear" w:color="auto" w:fill="auto"/>
            <w:hideMark/>
          </w:tcPr>
          <w:p w14:paraId="562ADA74"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val="fi-FI" w:eastAsia="fi-FI"/>
              </w:rPr>
              <w:t> </w:t>
            </w:r>
          </w:p>
          <w:p w14:paraId="450B67D6" w14:textId="44CC1DA1" w:rsidR="00CF180E" w:rsidRPr="004872F0" w:rsidRDefault="00CF180E" w:rsidP="00CF180E">
            <w:pPr>
              <w:spacing w:after="0"/>
              <w:jc w:val="center"/>
              <w:textAlignment w:val="baseline"/>
              <w:rPr>
                <w:rFonts w:eastAsia="Times New Roman"/>
                <w:lang w:val="fi-FI" w:eastAsia="fi-FI"/>
              </w:rPr>
            </w:pPr>
            <w:r w:rsidRPr="004872F0">
              <w:rPr>
                <w:rFonts w:eastAsia="Times New Roman"/>
                <w:lang w:eastAsia="fi-FI"/>
              </w:rPr>
              <w:t>90.7%</w:t>
            </w:r>
            <w:r w:rsidRPr="004872F0">
              <w:rPr>
                <w:rFonts w:eastAsia="Times New Roman"/>
                <w:lang w:val="fi-FI" w:eastAsia="fi-FI"/>
              </w:rPr>
              <w:t> </w:t>
            </w:r>
          </w:p>
        </w:tc>
        <w:tc>
          <w:tcPr>
            <w:tcW w:w="2055" w:type="dxa"/>
            <w:tcBorders>
              <w:top w:val="outset" w:sz="6" w:space="0" w:color="auto"/>
              <w:left w:val="outset" w:sz="6" w:space="0" w:color="auto"/>
              <w:bottom w:val="single" w:sz="6" w:space="0" w:color="auto"/>
              <w:right w:val="single" w:sz="6" w:space="0" w:color="auto"/>
            </w:tcBorders>
            <w:shd w:val="clear" w:color="auto" w:fill="auto"/>
            <w:hideMark/>
          </w:tcPr>
          <w:p w14:paraId="619B5275"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val="fi-FI" w:eastAsia="fi-FI"/>
              </w:rPr>
              <w:t> </w:t>
            </w:r>
          </w:p>
          <w:p w14:paraId="1EB74AEB"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eastAsia="fi-FI"/>
              </w:rPr>
              <w:t>0</w:t>
            </w:r>
            <w:r w:rsidRPr="004872F0">
              <w:rPr>
                <w:rFonts w:eastAsia="Times New Roman"/>
                <w:lang w:val="fi-FI" w:eastAsia="fi-FI"/>
              </w:rPr>
              <w:t> </w:t>
            </w:r>
          </w:p>
        </w:tc>
      </w:tr>
      <w:tr w:rsidR="00CF180E" w:rsidRPr="0033537D" w14:paraId="4ECBC586" w14:textId="77777777" w:rsidTr="004872F0">
        <w:tc>
          <w:tcPr>
            <w:tcW w:w="3225" w:type="dxa"/>
            <w:tcBorders>
              <w:top w:val="outset" w:sz="6" w:space="0" w:color="auto"/>
              <w:left w:val="single" w:sz="6" w:space="0" w:color="auto"/>
              <w:bottom w:val="single" w:sz="6" w:space="0" w:color="auto"/>
              <w:right w:val="single" w:sz="6" w:space="0" w:color="auto"/>
            </w:tcBorders>
            <w:shd w:val="clear" w:color="auto" w:fill="auto"/>
            <w:hideMark/>
          </w:tcPr>
          <w:p w14:paraId="3D44195C" w14:textId="77777777" w:rsidR="00CF180E" w:rsidRPr="004872F0" w:rsidRDefault="00CF180E" w:rsidP="00CF180E">
            <w:pPr>
              <w:spacing w:after="0"/>
              <w:textAlignment w:val="baseline"/>
              <w:rPr>
                <w:rFonts w:eastAsia="Times New Roman"/>
                <w:lang w:val="fi-FI" w:eastAsia="fi-FI"/>
              </w:rPr>
            </w:pPr>
            <w:r w:rsidRPr="004872F0">
              <w:rPr>
                <w:rFonts w:eastAsia="Times New Roman"/>
                <w:lang w:eastAsia="fi-FI"/>
              </w:rPr>
              <w:t>Option 2</w:t>
            </w:r>
            <w:r w:rsidRPr="004872F0">
              <w:rPr>
                <w:rFonts w:eastAsia="Times New Roman"/>
                <w:lang w:val="fi-FI" w:eastAsia="fi-FI"/>
              </w:rPr>
              <w:t> </w:t>
            </w:r>
          </w:p>
          <w:p w14:paraId="788DAC1F" w14:textId="77777777" w:rsidR="00CF180E" w:rsidRPr="004872F0" w:rsidRDefault="00CF180E" w:rsidP="00CF180E">
            <w:pPr>
              <w:numPr>
                <w:ilvl w:val="0"/>
                <w:numId w:val="28"/>
              </w:numPr>
              <w:spacing w:after="0"/>
              <w:ind w:left="270" w:firstLine="0"/>
              <w:textAlignment w:val="baseline"/>
              <w:rPr>
                <w:rFonts w:eastAsia="Times New Roman"/>
                <w:lang w:val="fi-FI" w:eastAsia="fi-FI"/>
              </w:rPr>
            </w:pPr>
            <w:r w:rsidRPr="004872F0">
              <w:rPr>
                <w:rFonts w:eastAsia="Times New Roman"/>
                <w:lang w:eastAsia="fi-FI"/>
              </w:rPr>
              <w:t>Increased sampling rate</w:t>
            </w:r>
            <w:r w:rsidRPr="004872F0">
              <w:rPr>
                <w:rFonts w:eastAsia="Times New Roman"/>
                <w:lang w:val="fi-FI" w:eastAsia="fi-FI"/>
              </w:rPr>
              <w:t> </w:t>
            </w:r>
          </w:p>
          <w:p w14:paraId="6E1108F6" w14:textId="77777777" w:rsidR="00CF180E" w:rsidRPr="004872F0" w:rsidRDefault="00CF180E" w:rsidP="00CF180E">
            <w:pPr>
              <w:numPr>
                <w:ilvl w:val="0"/>
                <w:numId w:val="28"/>
              </w:numPr>
              <w:spacing w:after="0"/>
              <w:ind w:left="270" w:firstLine="0"/>
              <w:textAlignment w:val="baseline"/>
              <w:rPr>
                <w:rFonts w:eastAsia="Times New Roman"/>
                <w:lang w:val="fi-FI" w:eastAsia="fi-FI"/>
              </w:rPr>
            </w:pPr>
            <w:r w:rsidRPr="004872F0">
              <w:rPr>
                <w:rFonts w:eastAsia="Times New Roman"/>
                <w:lang w:eastAsia="fi-FI"/>
              </w:rPr>
              <w:t>Max. BW utilization ~95%</w:t>
            </w:r>
            <w:r w:rsidRPr="004872F0">
              <w:rPr>
                <w:rFonts w:eastAsia="Times New Roman"/>
                <w:lang w:val="fi-FI" w:eastAsia="fi-FI"/>
              </w:rPr>
              <w:t> </w:t>
            </w:r>
          </w:p>
        </w:tc>
        <w:tc>
          <w:tcPr>
            <w:tcW w:w="870" w:type="dxa"/>
            <w:tcBorders>
              <w:top w:val="outset" w:sz="6" w:space="0" w:color="auto"/>
              <w:left w:val="outset" w:sz="6" w:space="0" w:color="auto"/>
              <w:bottom w:val="single" w:sz="6" w:space="0" w:color="auto"/>
              <w:right w:val="single" w:sz="6" w:space="0" w:color="auto"/>
            </w:tcBorders>
            <w:shd w:val="clear" w:color="auto" w:fill="auto"/>
            <w:hideMark/>
          </w:tcPr>
          <w:p w14:paraId="1E91AE32"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val="fi-FI" w:eastAsia="fi-FI"/>
              </w:rPr>
              <w:t> </w:t>
            </w:r>
          </w:p>
          <w:p w14:paraId="55D46C22"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eastAsia="fi-FI"/>
              </w:rPr>
              <w:t>178</w:t>
            </w:r>
            <w:r w:rsidRPr="004872F0">
              <w:rPr>
                <w:rFonts w:eastAsia="Times New Roman"/>
                <w:lang w:val="fi-FI" w:eastAsia="fi-FI"/>
              </w:rPr>
              <w:t> </w:t>
            </w:r>
          </w:p>
          <w:p w14:paraId="5145487D"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eastAsia="fi-FI"/>
              </w:rPr>
              <w:t>180</w:t>
            </w:r>
            <w:r w:rsidRPr="004872F0">
              <w:rPr>
                <w:rFonts w:eastAsia="Times New Roman"/>
                <w:lang w:val="fi-FI" w:eastAsia="fi-FI"/>
              </w:rPr>
              <w:t> </w:t>
            </w:r>
          </w:p>
        </w:tc>
        <w:tc>
          <w:tcPr>
            <w:tcW w:w="1125" w:type="dxa"/>
            <w:tcBorders>
              <w:top w:val="outset" w:sz="6" w:space="0" w:color="auto"/>
              <w:left w:val="outset" w:sz="6" w:space="0" w:color="auto"/>
              <w:bottom w:val="single" w:sz="6" w:space="0" w:color="auto"/>
              <w:right w:val="single" w:sz="6" w:space="0" w:color="auto"/>
            </w:tcBorders>
            <w:shd w:val="clear" w:color="auto" w:fill="auto"/>
            <w:hideMark/>
          </w:tcPr>
          <w:p w14:paraId="69FAD214"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val="fi-FI" w:eastAsia="fi-FI"/>
              </w:rPr>
              <w:t> </w:t>
            </w:r>
          </w:p>
          <w:p w14:paraId="565A2DF8"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eastAsia="fi-FI"/>
              </w:rPr>
              <w:t>2050.6</w:t>
            </w:r>
            <w:r w:rsidRPr="004872F0">
              <w:rPr>
                <w:rFonts w:eastAsia="Times New Roman"/>
                <w:lang w:val="fi-FI" w:eastAsia="fi-FI"/>
              </w:rPr>
              <w:t> </w:t>
            </w:r>
          </w:p>
          <w:p w14:paraId="5CA261BA"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eastAsia="fi-FI"/>
              </w:rPr>
              <w:t>2073.6</w:t>
            </w:r>
            <w:r w:rsidRPr="004872F0">
              <w:rPr>
                <w:rFonts w:eastAsia="Times New Roman"/>
                <w:lang w:val="fi-FI" w:eastAsia="fi-FI"/>
              </w:rPr>
              <w:t> </w:t>
            </w:r>
          </w:p>
        </w:tc>
        <w:tc>
          <w:tcPr>
            <w:tcW w:w="1980" w:type="dxa"/>
            <w:tcBorders>
              <w:top w:val="outset" w:sz="6" w:space="0" w:color="auto"/>
              <w:left w:val="outset" w:sz="6" w:space="0" w:color="auto"/>
              <w:bottom w:val="single" w:sz="6" w:space="0" w:color="auto"/>
              <w:right w:val="single" w:sz="6" w:space="0" w:color="auto"/>
            </w:tcBorders>
            <w:shd w:val="clear" w:color="auto" w:fill="auto"/>
            <w:hideMark/>
          </w:tcPr>
          <w:p w14:paraId="5C8C0638"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val="fi-FI" w:eastAsia="fi-FI"/>
              </w:rPr>
              <w:t> </w:t>
            </w:r>
          </w:p>
          <w:p w14:paraId="02D77088"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eastAsia="fi-FI"/>
              </w:rPr>
              <w:t>94.9%</w:t>
            </w:r>
            <w:r w:rsidRPr="004872F0">
              <w:rPr>
                <w:rFonts w:eastAsia="Times New Roman"/>
                <w:lang w:val="fi-FI" w:eastAsia="fi-FI"/>
              </w:rPr>
              <w:t> </w:t>
            </w:r>
          </w:p>
          <w:p w14:paraId="1E04D13F"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eastAsia="fi-FI"/>
              </w:rPr>
              <w:t>96.0%</w:t>
            </w:r>
            <w:r w:rsidRPr="004872F0">
              <w:rPr>
                <w:rFonts w:eastAsia="Times New Roman"/>
                <w:lang w:val="fi-FI" w:eastAsia="fi-FI"/>
              </w:rPr>
              <w:t> </w:t>
            </w:r>
          </w:p>
        </w:tc>
        <w:tc>
          <w:tcPr>
            <w:tcW w:w="2055" w:type="dxa"/>
            <w:tcBorders>
              <w:top w:val="outset" w:sz="6" w:space="0" w:color="auto"/>
              <w:left w:val="outset" w:sz="6" w:space="0" w:color="auto"/>
              <w:bottom w:val="single" w:sz="6" w:space="0" w:color="auto"/>
              <w:right w:val="single" w:sz="6" w:space="0" w:color="auto"/>
            </w:tcBorders>
            <w:shd w:val="clear" w:color="auto" w:fill="auto"/>
            <w:hideMark/>
          </w:tcPr>
          <w:p w14:paraId="39DC2E70"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val="fi-FI" w:eastAsia="fi-FI"/>
              </w:rPr>
              <w:t> </w:t>
            </w:r>
          </w:p>
          <w:p w14:paraId="4EEE5348" w14:textId="4D36205A" w:rsidR="00CF180E" w:rsidRPr="004872F0" w:rsidRDefault="00CF180E" w:rsidP="00CF180E">
            <w:pPr>
              <w:spacing w:after="0"/>
              <w:jc w:val="center"/>
              <w:textAlignment w:val="baseline"/>
              <w:rPr>
                <w:rFonts w:eastAsia="Times New Roman"/>
                <w:lang w:val="fi-FI" w:eastAsia="fi-FI"/>
              </w:rPr>
            </w:pPr>
            <w:r w:rsidRPr="004872F0">
              <w:rPr>
                <w:rFonts w:eastAsia="Times New Roman"/>
                <w:lang w:eastAsia="fi-FI"/>
              </w:rPr>
              <w:t>4.7%</w:t>
            </w:r>
            <w:r w:rsidRPr="004872F0">
              <w:rPr>
                <w:rFonts w:eastAsia="Times New Roman"/>
                <w:lang w:val="fi-FI" w:eastAsia="fi-FI"/>
              </w:rPr>
              <w:t> </w:t>
            </w:r>
          </w:p>
          <w:p w14:paraId="27FDCDC5" w14:textId="77777777" w:rsidR="00CF180E" w:rsidRPr="004872F0" w:rsidRDefault="00CF180E" w:rsidP="00CF180E">
            <w:pPr>
              <w:spacing w:after="0"/>
              <w:jc w:val="center"/>
              <w:textAlignment w:val="baseline"/>
              <w:rPr>
                <w:rFonts w:eastAsia="Times New Roman"/>
                <w:lang w:val="fi-FI" w:eastAsia="fi-FI"/>
              </w:rPr>
            </w:pPr>
            <w:r w:rsidRPr="004872F0">
              <w:rPr>
                <w:rFonts w:eastAsia="Times New Roman"/>
                <w:lang w:eastAsia="fi-FI"/>
              </w:rPr>
              <w:t>5.9%</w:t>
            </w:r>
            <w:r w:rsidRPr="004872F0">
              <w:rPr>
                <w:rFonts w:eastAsia="Times New Roman"/>
                <w:lang w:val="fi-FI" w:eastAsia="fi-FI"/>
              </w:rPr>
              <w:t> </w:t>
            </w:r>
          </w:p>
        </w:tc>
      </w:tr>
    </w:tbl>
    <w:p w14:paraId="50E65CBA" w14:textId="77777777" w:rsidR="00CF180E" w:rsidRPr="007E4E13" w:rsidRDefault="00CF180E" w:rsidP="00CF180E">
      <w:pPr>
        <w:spacing w:after="0"/>
        <w:textAlignment w:val="baseline"/>
        <w:rPr>
          <w:rFonts w:eastAsia="Times New Roman"/>
          <w:lang w:val="fi-FI" w:eastAsia="fi-FI"/>
        </w:rPr>
      </w:pPr>
      <w:r w:rsidRPr="004872F0">
        <w:rPr>
          <w:rFonts w:eastAsia="Times New Roman"/>
          <w:lang w:val="fi-FI" w:eastAsia="fi-FI"/>
        </w:rPr>
        <w:t> </w:t>
      </w:r>
    </w:p>
    <w:p w14:paraId="2F5B55BE" w14:textId="2B266BB3" w:rsidR="00CF180E" w:rsidRPr="004872F0" w:rsidRDefault="00CF180E" w:rsidP="00CF180E">
      <w:pPr>
        <w:spacing w:after="0"/>
        <w:textAlignment w:val="baseline"/>
        <w:rPr>
          <w:rFonts w:eastAsia="Times New Roman"/>
          <w:lang w:eastAsia="fi-FI"/>
        </w:rPr>
      </w:pPr>
      <w:r w:rsidRPr="004872F0">
        <w:rPr>
          <w:rFonts w:eastAsia="Times New Roman"/>
          <w:lang w:eastAsia="fi-FI"/>
        </w:rPr>
        <w:t>Increased sampling rate can be made with quite small and isolated specification impacts. One approach to define a new sampling rate option is to make it by means of the second time unit, </w:t>
      </w:r>
      <w:r w:rsidRPr="004872F0">
        <w:rPr>
          <w:rFonts w:eastAsia="Times New Roman"/>
          <w:i/>
          <w:iCs/>
          <w:lang w:eastAsia="fi-FI"/>
        </w:rPr>
        <w:t>T</w:t>
      </w:r>
      <w:r w:rsidRPr="004872F0">
        <w:rPr>
          <w:rFonts w:eastAsia="Times New Roman"/>
          <w:i/>
          <w:iCs/>
          <w:vertAlign w:val="subscript"/>
          <w:lang w:eastAsia="fi-FI"/>
        </w:rPr>
        <w:t>c2</w:t>
      </w:r>
      <w:r w:rsidRPr="004872F0">
        <w:rPr>
          <w:rFonts w:eastAsia="Times New Roman"/>
          <w:lang w:eastAsia="fi-FI"/>
        </w:rPr>
        <w:t>, where  </w:t>
      </w:r>
    </w:p>
    <w:p w14:paraId="5DF52CBE" w14:textId="7907E9B3" w:rsidR="00CF180E" w:rsidRPr="004872F0" w:rsidRDefault="00CF180E" w:rsidP="00CF180E">
      <w:pPr>
        <w:spacing w:after="0"/>
        <w:ind w:firstLine="270"/>
        <w:textAlignment w:val="baseline"/>
        <w:rPr>
          <w:rFonts w:eastAsia="Times New Roman"/>
          <w:lang w:eastAsia="fi-FI"/>
        </w:rPr>
      </w:pPr>
      <w:r w:rsidRPr="004872F0">
        <w:rPr>
          <w:rFonts w:eastAsia="Times New Roman"/>
          <w:i/>
          <w:iCs/>
          <w:lang w:eastAsia="fi-FI"/>
        </w:rPr>
        <w:t>T</w:t>
      </w:r>
      <w:r w:rsidRPr="004872F0">
        <w:rPr>
          <w:rFonts w:eastAsia="Times New Roman"/>
          <w:i/>
          <w:iCs/>
          <w:vertAlign w:val="subscript"/>
          <w:lang w:eastAsia="fi-FI"/>
        </w:rPr>
        <w:t>c2</w:t>
      </w:r>
      <w:r w:rsidRPr="004872F0">
        <w:rPr>
          <w:rFonts w:eastAsia="Times New Roman"/>
          <w:i/>
          <w:iCs/>
          <w:lang w:eastAsia="fi-FI"/>
        </w:rPr>
        <w:t> =</w:t>
      </w:r>
      <w:r w:rsidRPr="004872F0">
        <w:rPr>
          <w:rFonts w:eastAsia="Times New Roman"/>
          <w:lang w:eastAsia="fi-FI"/>
        </w:rPr>
        <w:t>1/( Δ</w:t>
      </w:r>
      <w:r w:rsidRPr="004872F0">
        <w:rPr>
          <w:rFonts w:ascii="Cambria Math" w:eastAsia="Times New Roman" w:hAnsi="Cambria Math"/>
          <w:lang w:eastAsia="fi-FI"/>
        </w:rPr>
        <w:t>𝑓</w:t>
      </w:r>
      <w:r w:rsidRPr="004872F0">
        <w:rPr>
          <w:rFonts w:eastAsia="Times New Roman"/>
          <w:vertAlign w:val="subscript"/>
          <w:lang w:eastAsia="fi-FI"/>
        </w:rPr>
        <w:t>max2</w:t>
      </w:r>
      <w:r w:rsidRPr="004872F0">
        <w:rPr>
          <w:rFonts w:ascii="Calibri" w:eastAsia="Times New Roman" w:hAnsi="Calibri" w:cs="Calibri"/>
          <w:lang w:eastAsia="fi-FI"/>
        </w:rPr>
        <w:t> ∙ </w:t>
      </w:r>
      <w:proofErr w:type="spellStart"/>
      <w:r w:rsidRPr="004872F0">
        <w:rPr>
          <w:rFonts w:eastAsia="Times New Roman"/>
          <w:i/>
          <w:iCs/>
          <w:lang w:eastAsia="fi-FI"/>
        </w:rPr>
        <w:t>N</w:t>
      </w:r>
      <w:r w:rsidRPr="004872F0">
        <w:rPr>
          <w:rFonts w:eastAsia="Times New Roman"/>
          <w:i/>
          <w:iCs/>
          <w:vertAlign w:val="subscript"/>
          <w:lang w:eastAsia="fi-FI"/>
        </w:rPr>
        <w:t>f</w:t>
      </w:r>
      <w:proofErr w:type="spellEnd"/>
      <w:r w:rsidRPr="004872F0">
        <w:rPr>
          <w:rFonts w:eastAsia="Times New Roman"/>
          <w:lang w:eastAsia="fi-FI"/>
        </w:rPr>
        <w:t>) and</w:t>
      </w:r>
      <w:r w:rsidRPr="004872F0">
        <w:rPr>
          <w:rFonts w:ascii="Calibri" w:eastAsia="Times New Roman" w:hAnsi="Calibri" w:cs="Calibri"/>
          <w:lang w:eastAsia="fi-FI"/>
        </w:rPr>
        <w:t> Δ</w:t>
      </w:r>
      <w:r w:rsidRPr="004872F0">
        <w:rPr>
          <w:rFonts w:ascii="Cambria Math" w:eastAsia="Times New Roman" w:hAnsi="Cambria Math"/>
          <w:lang w:eastAsia="fi-FI"/>
        </w:rPr>
        <w:t>𝑓</w:t>
      </w:r>
      <w:r w:rsidRPr="004872F0">
        <w:rPr>
          <w:rFonts w:eastAsia="Times New Roman"/>
          <w:vertAlign w:val="subscript"/>
          <w:lang w:eastAsia="fi-FI"/>
        </w:rPr>
        <w:t>max2</w:t>
      </w:r>
      <w:r w:rsidRPr="004872F0">
        <w:rPr>
          <w:rFonts w:eastAsia="Times New Roman"/>
          <w:lang w:eastAsia="fi-FI"/>
        </w:rPr>
        <w:t> = 960</w:t>
      </w:r>
      <w:r w:rsidRPr="004872F0">
        <w:rPr>
          <w:rFonts w:ascii="Calibri" w:eastAsia="Times New Roman" w:hAnsi="Calibri" w:cs="Calibri"/>
          <w:lang w:eastAsia="fi-FI"/>
        </w:rPr>
        <w:t> ∙ 10</w:t>
      </w:r>
      <w:r w:rsidRPr="004872F0">
        <w:rPr>
          <w:rFonts w:eastAsia="Times New Roman"/>
          <w:vertAlign w:val="superscript"/>
          <w:lang w:eastAsia="fi-FI"/>
        </w:rPr>
        <w:t>3</w:t>
      </w:r>
      <w:r w:rsidRPr="004872F0">
        <w:rPr>
          <w:rFonts w:eastAsia="Times New Roman"/>
          <w:lang w:eastAsia="fi-FI"/>
        </w:rPr>
        <w:t> Hz.</w:t>
      </w:r>
    </w:p>
    <w:p w14:paraId="3F9D6BB8" w14:textId="77777777" w:rsidR="00CF180E" w:rsidRPr="004872F0" w:rsidRDefault="00CF180E" w:rsidP="00CF180E">
      <w:pPr>
        <w:spacing w:after="0"/>
        <w:ind w:firstLine="270"/>
        <w:textAlignment w:val="baseline"/>
        <w:rPr>
          <w:rFonts w:eastAsia="Times New Roman"/>
          <w:lang w:eastAsia="fi-FI"/>
        </w:rPr>
      </w:pPr>
    </w:p>
    <w:p w14:paraId="21C2633F" w14:textId="77777777" w:rsidR="00CF180E" w:rsidRPr="004872F0" w:rsidRDefault="00CF180E" w:rsidP="00CF180E">
      <w:pPr>
        <w:spacing w:after="0"/>
        <w:textAlignment w:val="baseline"/>
        <w:rPr>
          <w:rFonts w:eastAsia="Times New Roman"/>
          <w:lang w:eastAsia="fi-FI"/>
        </w:rPr>
      </w:pPr>
      <w:r w:rsidRPr="004872F0">
        <w:rPr>
          <w:rFonts w:eastAsia="Times New Roman"/>
          <w:lang w:eastAsia="fi-FI"/>
        </w:rPr>
        <w:t>The second time unit can be applied only when using 960 kHz SCS, or alternatively when 480 or 960 kHz SCSs is applied.  </w:t>
      </w:r>
    </w:p>
    <w:p w14:paraId="396622C8" w14:textId="77777777" w:rsidR="00CF180E" w:rsidRPr="004872F0" w:rsidRDefault="00CF180E" w:rsidP="00CF180E">
      <w:pPr>
        <w:spacing w:after="0"/>
        <w:textAlignment w:val="baseline"/>
        <w:rPr>
          <w:rFonts w:eastAsia="Times New Roman"/>
          <w:lang w:eastAsia="fi-FI"/>
        </w:rPr>
      </w:pPr>
      <w:r w:rsidRPr="004872F0">
        <w:rPr>
          <w:rFonts w:eastAsia="Times New Roman"/>
          <w:lang w:eastAsia="fi-FI"/>
        </w:rPr>
        <w:t> </w:t>
      </w:r>
    </w:p>
    <w:p w14:paraId="1E5123A8" w14:textId="77777777" w:rsidR="00CF180E" w:rsidRPr="004872F0" w:rsidRDefault="00CF180E" w:rsidP="00CF180E">
      <w:pPr>
        <w:spacing w:after="0"/>
        <w:textAlignment w:val="baseline"/>
        <w:rPr>
          <w:rFonts w:eastAsia="Times New Roman"/>
          <w:lang w:eastAsia="fi-FI"/>
        </w:rPr>
      </w:pPr>
      <w:r w:rsidRPr="004872F0">
        <w:rPr>
          <w:rFonts w:eastAsia="Times New Roman"/>
          <w:lang w:eastAsia="fi-FI"/>
        </w:rPr>
        <w:t>While the FFT size as such is an implementation issue, definition of the second time unit allows various implementation options to be used with 960 kHz SCS, e.g. </w:t>
      </w:r>
    </w:p>
    <w:p w14:paraId="29D1A512" w14:textId="77777777" w:rsidR="00CF180E" w:rsidRPr="004872F0" w:rsidRDefault="00CF180E" w:rsidP="00CF180E">
      <w:pPr>
        <w:numPr>
          <w:ilvl w:val="0"/>
          <w:numId w:val="30"/>
        </w:numPr>
        <w:spacing w:after="0"/>
        <w:ind w:left="270" w:firstLine="0"/>
        <w:textAlignment w:val="baseline"/>
        <w:rPr>
          <w:rFonts w:eastAsia="Times New Roman"/>
          <w:lang w:eastAsia="fi-FI"/>
        </w:rPr>
      </w:pPr>
      <w:r w:rsidRPr="007E4E13">
        <w:rPr>
          <w:rFonts w:eastAsia="Times New Roman"/>
          <w:lang w:eastAsia="fi-FI"/>
        </w:rPr>
        <w:lastRenderedPageBreak/>
        <w:t>operation with carrier bandwidths of up-to 2GHz with 2k FFT </w:t>
      </w:r>
      <w:r w:rsidRPr="004872F0">
        <w:rPr>
          <w:rFonts w:eastAsia="Times New Roman"/>
          <w:lang w:eastAsia="fi-FI"/>
        </w:rPr>
        <w:t> </w:t>
      </w:r>
    </w:p>
    <w:p w14:paraId="6AB6707D" w14:textId="77777777" w:rsidR="00CF180E" w:rsidRPr="004872F0" w:rsidRDefault="00CF180E" w:rsidP="00CF180E">
      <w:pPr>
        <w:numPr>
          <w:ilvl w:val="0"/>
          <w:numId w:val="30"/>
        </w:numPr>
        <w:spacing w:after="0"/>
        <w:ind w:left="270" w:firstLine="0"/>
        <w:textAlignment w:val="baseline"/>
        <w:rPr>
          <w:rFonts w:eastAsia="Times New Roman"/>
          <w:lang w:eastAsia="fi-FI"/>
        </w:rPr>
      </w:pPr>
      <w:r w:rsidRPr="007E4E13">
        <w:rPr>
          <w:rFonts w:eastAsia="Times New Roman"/>
          <w:lang w:eastAsia="fi-FI"/>
        </w:rPr>
        <w:t>operation with carrier bandwidths of up-to 2.16GHz with FFT size &gt; 2048.  </w:t>
      </w:r>
      <w:r w:rsidRPr="004872F0">
        <w:rPr>
          <w:rFonts w:eastAsia="Times New Roman"/>
          <w:lang w:eastAsia="fi-FI"/>
        </w:rPr>
        <w:t> </w:t>
      </w:r>
    </w:p>
    <w:p w14:paraId="2D9F4531" w14:textId="153A36B5" w:rsidR="00CA57A0" w:rsidRDefault="00CA57A0" w:rsidP="00CA57A0">
      <w:pPr>
        <w:spacing w:after="0"/>
        <w:rPr>
          <w:u w:val="single"/>
        </w:rPr>
      </w:pPr>
    </w:p>
    <w:p w14:paraId="75516E74" w14:textId="015D38AF" w:rsidR="00CF180E" w:rsidRPr="004872F0" w:rsidRDefault="00CF180E" w:rsidP="00CA57A0">
      <w:pPr>
        <w:spacing w:after="0"/>
      </w:pPr>
      <w:r w:rsidRPr="004872F0">
        <w:t>When it comes to minimum channel bandwi</w:t>
      </w:r>
      <w:r w:rsidR="0033537D">
        <w:t>d</w:t>
      </w:r>
      <w:r w:rsidRPr="004872F0">
        <w:t xml:space="preserve">th, it is necessary to ensure that the initial access signals </w:t>
      </w:r>
      <w:r w:rsidR="002B0D9E">
        <w:t>are</w:t>
      </w:r>
      <w:r w:rsidR="00D170D0">
        <w:t xml:space="preserve"> located</w:t>
      </w:r>
      <w:r w:rsidRPr="004872F0">
        <w:t xml:space="preserve"> within the minimum channel bandwidth</w:t>
      </w:r>
      <w:r w:rsidR="00D170D0">
        <w:t>.</w:t>
      </w:r>
      <w:r w:rsidRPr="004872F0">
        <w:t xml:space="preserve"> Therefore, it is beneficial to wait for RAN1 outcome on initial access and initial BWP before agreeing minimum channel BW.</w:t>
      </w:r>
    </w:p>
    <w:p w14:paraId="224B1B0F" w14:textId="77777777" w:rsidR="00CA57A0" w:rsidRDefault="00CA57A0" w:rsidP="00CA57A0">
      <w:pPr>
        <w:spacing w:after="0"/>
        <w:rPr>
          <w:u w:val="single"/>
          <w:lang w:val="en-US"/>
        </w:rPr>
      </w:pPr>
    </w:p>
    <w:p w14:paraId="1DE4D7FE" w14:textId="66E347D3" w:rsidR="00CA57A0" w:rsidRDefault="00CA57A0" w:rsidP="00CA57A0">
      <w:pPr>
        <w:rPr>
          <w:b/>
          <w:bCs/>
          <w:lang w:val="en-US"/>
        </w:rPr>
      </w:pPr>
      <w:r>
        <w:rPr>
          <w:b/>
          <w:bCs/>
          <w:lang w:val="en-US"/>
        </w:rPr>
        <w:t>Observation 2: It is beneficial to wait for RAN1 outcome on initial access and initial BWP before agreeing minimum channel BW.</w:t>
      </w:r>
    </w:p>
    <w:p w14:paraId="504D6BD3" w14:textId="7054445F" w:rsidR="008434A2" w:rsidRDefault="00CA57A0" w:rsidP="00933174">
      <w:pPr>
        <w:spacing w:after="0"/>
        <w:rPr>
          <w:b/>
          <w:bCs/>
          <w:lang w:val="en-US"/>
        </w:rPr>
      </w:pPr>
      <w:r w:rsidRPr="4AE885FA">
        <w:rPr>
          <w:b/>
          <w:bCs/>
          <w:lang w:val="en-US"/>
        </w:rPr>
        <w:t>Proposal 3: For operation without CA, support at least the following CBWs: 400 MHz (120 kHz)</w:t>
      </w:r>
      <w:r>
        <w:rPr>
          <w:b/>
          <w:bCs/>
          <w:lang w:val="en-US"/>
        </w:rPr>
        <w:t>, 1600 MHz (480 kHz)</w:t>
      </w:r>
      <w:r w:rsidRPr="4AE885FA">
        <w:rPr>
          <w:b/>
          <w:bCs/>
          <w:lang w:val="en-US"/>
        </w:rPr>
        <w:t xml:space="preserve"> and 2.16 GHz (960 kHz)</w:t>
      </w:r>
    </w:p>
    <w:p w14:paraId="1D74F33C" w14:textId="77777777" w:rsidR="008434A2" w:rsidRDefault="008434A2" w:rsidP="00933174">
      <w:pPr>
        <w:spacing w:after="0"/>
        <w:rPr>
          <w:b/>
          <w:bCs/>
          <w:lang w:val="en-US"/>
        </w:rPr>
      </w:pPr>
    </w:p>
    <w:p w14:paraId="3DE8203E" w14:textId="7477E630" w:rsidR="00CA57A0" w:rsidRDefault="00164CE9" w:rsidP="00933174">
      <w:pPr>
        <w:spacing w:after="0"/>
        <w:rPr>
          <w:b/>
          <w:bCs/>
          <w:lang w:val="en-US"/>
        </w:rPr>
      </w:pPr>
      <w:r w:rsidRPr="004872F0">
        <w:rPr>
          <w:b/>
          <w:bCs/>
          <w:lang w:val="en-US"/>
        </w:rPr>
        <w:t>Proposal 4: Recommend RAN1 to ensure that channel bandwidths up to 2160 MHz are supported from RAN1 perspective.</w:t>
      </w:r>
    </w:p>
    <w:p w14:paraId="36C6ADCF" w14:textId="7F06A71A" w:rsidR="007E4E13" w:rsidRDefault="007E4E13" w:rsidP="00933174">
      <w:pPr>
        <w:spacing w:after="0"/>
        <w:rPr>
          <w:b/>
          <w:bCs/>
          <w:lang w:val="en-US"/>
        </w:rPr>
      </w:pPr>
    </w:p>
    <w:p w14:paraId="3D458688" w14:textId="23130DC9" w:rsidR="007E4E13" w:rsidRPr="004872F0" w:rsidRDefault="007E4E13" w:rsidP="00933174">
      <w:pPr>
        <w:spacing w:after="0"/>
        <w:rPr>
          <w:lang w:val="en-US"/>
        </w:rPr>
      </w:pPr>
      <w:r>
        <w:rPr>
          <w:lang w:val="en-US"/>
        </w:rPr>
        <w:t>In companion contribution [10], a TP to TR 38.808 has been provided capturing that channel bandwidths up to 2160 MHz are feasible from RAN4 perspective.</w:t>
      </w:r>
    </w:p>
    <w:p w14:paraId="7B2E910C" w14:textId="77777777" w:rsidR="00164CE9" w:rsidRDefault="00164CE9" w:rsidP="00933174">
      <w:pPr>
        <w:spacing w:after="0"/>
        <w:rPr>
          <w:u w:val="single"/>
          <w:lang w:val="en-US"/>
        </w:rPr>
      </w:pPr>
    </w:p>
    <w:p w14:paraId="6A250D4B" w14:textId="2432AFAE" w:rsidR="00933174" w:rsidRPr="004872F0" w:rsidRDefault="00CA57A0" w:rsidP="00933174">
      <w:pPr>
        <w:spacing w:after="0"/>
        <w:rPr>
          <w:b/>
          <w:bCs/>
          <w:u w:val="single"/>
          <w:lang w:val="en-US"/>
        </w:rPr>
      </w:pPr>
      <w:r w:rsidRPr="004872F0">
        <w:rPr>
          <w:b/>
          <w:bCs/>
          <w:u w:val="single"/>
          <w:lang w:val="en-US"/>
        </w:rPr>
        <w:t>Carrier aggregation</w:t>
      </w:r>
    </w:p>
    <w:p w14:paraId="2A7BE13F" w14:textId="77777777" w:rsidR="00933174" w:rsidRPr="000371F4" w:rsidRDefault="00933174" w:rsidP="00933174">
      <w:pPr>
        <w:spacing w:after="0"/>
        <w:rPr>
          <w:lang w:val="en-US"/>
        </w:rPr>
      </w:pPr>
    </w:p>
    <w:p w14:paraId="6D7CF00C" w14:textId="2D0A627D" w:rsidR="00933174" w:rsidRPr="008434A2" w:rsidRDefault="00933174" w:rsidP="00933174">
      <w:pPr>
        <w:rPr>
          <w:lang w:val="en-US"/>
        </w:rPr>
      </w:pPr>
      <w:r w:rsidRPr="007E4E13">
        <w:rPr>
          <w:lang w:val="en-US"/>
        </w:rPr>
        <w:t xml:space="preserve">It’s well-known that subcarrier spacing, and the maximum channel bandwidth supported go hand by hand – the higher the SCS, the higher is the BW supported </w:t>
      </w:r>
      <w:r w:rsidRPr="008434A2">
        <w:rPr>
          <w:lang w:val="en-US"/>
        </w:rPr>
        <w:t xml:space="preserve">by given number of PRBs (up-to 275).  </w:t>
      </w:r>
    </w:p>
    <w:p w14:paraId="6D11E51B" w14:textId="1CEEDD81" w:rsidR="00933174" w:rsidRPr="004872F0" w:rsidRDefault="00933174" w:rsidP="00933174">
      <w:pPr>
        <w:spacing w:after="0"/>
      </w:pPr>
      <w:r w:rsidRPr="008434A2">
        <w:rPr>
          <w:lang w:val="en-US"/>
        </w:rPr>
        <w:t xml:space="preserve">Carrier aggregation is a way increase the BW beyond the limitations of a single component </w:t>
      </w:r>
      <w:r w:rsidR="00554AA7" w:rsidRPr="008434A2">
        <w:rPr>
          <w:lang w:val="en-US"/>
        </w:rPr>
        <w:t>carrier</w:t>
      </w:r>
      <w:r w:rsidRPr="008434A2">
        <w:rPr>
          <w:lang w:val="en-US"/>
        </w:rPr>
        <w:t xml:space="preserve">. </w:t>
      </w:r>
      <w:r w:rsidRPr="00FC4BFF">
        <w:rPr>
          <w:lang w:val="en-US"/>
        </w:rPr>
        <w:t xml:space="preserve">Table 2 shows the number of component carriers needed to fill a 2.16 GHz channel. It assumes spectrum usage efficiency &gt; 90% and up-to 275 PRBs/carrier. </w:t>
      </w:r>
      <w:r w:rsidRPr="004872F0">
        <w:t>It shows that</w:t>
      </w:r>
    </w:p>
    <w:p w14:paraId="628F3A9D" w14:textId="77777777" w:rsidR="00933174" w:rsidRPr="004872F0" w:rsidRDefault="00933174" w:rsidP="00933174">
      <w:pPr>
        <w:pStyle w:val="ListParagraph"/>
        <w:numPr>
          <w:ilvl w:val="0"/>
          <w:numId w:val="21"/>
        </w:numPr>
        <w:overflowPunct/>
        <w:autoSpaceDE/>
        <w:autoSpaceDN/>
        <w:adjustRightInd/>
        <w:spacing w:after="0" w:line="259" w:lineRule="auto"/>
        <w:ind w:firstLineChars="0"/>
        <w:contextualSpacing/>
        <w:textAlignment w:val="auto"/>
        <w:rPr>
          <w:lang w:val="en-US"/>
        </w:rPr>
      </w:pPr>
      <w:r w:rsidRPr="004872F0">
        <w:rPr>
          <w:lang w:val="en-US"/>
        </w:rPr>
        <w:t xml:space="preserve">960 kHz SCS is needed to support 2.16 GHz CBW without CA. </w:t>
      </w:r>
    </w:p>
    <w:p w14:paraId="2BC871FA" w14:textId="77777777" w:rsidR="00933174" w:rsidRPr="004872F0" w:rsidRDefault="00933174" w:rsidP="00933174">
      <w:pPr>
        <w:pStyle w:val="ListParagraph"/>
        <w:numPr>
          <w:ilvl w:val="0"/>
          <w:numId w:val="21"/>
        </w:numPr>
        <w:overflowPunct/>
        <w:autoSpaceDE/>
        <w:autoSpaceDN/>
        <w:adjustRightInd/>
        <w:spacing w:after="0" w:line="259" w:lineRule="auto"/>
        <w:ind w:firstLineChars="0"/>
        <w:contextualSpacing/>
        <w:textAlignment w:val="auto"/>
      </w:pPr>
      <w:r w:rsidRPr="004872F0">
        <w:t xml:space="preserve">480 kHz SCS requires two CCs </w:t>
      </w:r>
    </w:p>
    <w:p w14:paraId="1CD92810" w14:textId="125E51CC" w:rsidR="00933174" w:rsidRPr="004872F0" w:rsidRDefault="00933174" w:rsidP="00806C90">
      <w:pPr>
        <w:pStyle w:val="ListParagraph"/>
        <w:numPr>
          <w:ilvl w:val="0"/>
          <w:numId w:val="21"/>
        </w:numPr>
        <w:overflowPunct/>
        <w:autoSpaceDE/>
        <w:autoSpaceDN/>
        <w:adjustRightInd/>
        <w:spacing w:after="0" w:line="259" w:lineRule="auto"/>
        <w:ind w:firstLineChars="0"/>
        <w:contextualSpacing/>
        <w:textAlignment w:val="auto"/>
      </w:pPr>
      <w:r w:rsidRPr="004872F0">
        <w:t>120 kHz SCS requires 5 CCs.</w:t>
      </w:r>
    </w:p>
    <w:p w14:paraId="4774B3DC" w14:textId="77777777" w:rsidR="001040A6" w:rsidRPr="004872F0" w:rsidRDefault="001040A6" w:rsidP="001040A6">
      <w:pPr>
        <w:pStyle w:val="ListParagraph"/>
        <w:overflowPunct/>
        <w:autoSpaceDE/>
        <w:autoSpaceDN/>
        <w:adjustRightInd/>
        <w:spacing w:after="0" w:line="259" w:lineRule="auto"/>
        <w:ind w:left="720" w:firstLineChars="0" w:firstLine="0"/>
        <w:contextualSpacing/>
        <w:textAlignment w:val="auto"/>
      </w:pPr>
    </w:p>
    <w:p w14:paraId="01A81F26" w14:textId="3384D2EC" w:rsidR="00933174" w:rsidRPr="008434A2" w:rsidRDefault="00933174" w:rsidP="00806C90">
      <w:pPr>
        <w:rPr>
          <w:lang w:val="en-US"/>
        </w:rPr>
      </w:pPr>
      <w:r w:rsidRPr="007E4E13">
        <w:rPr>
          <w:lang w:val="en-US"/>
        </w:rPr>
        <w:t>Minimizing the number CCs will reduce both the system complexity and overhead (e.g. guard band). It will also influence UL coverage since MPR for different CA scenarios is much larger compared to that of single carrier transmiss</w:t>
      </w:r>
      <w:r w:rsidRPr="008434A2">
        <w:rPr>
          <w:lang w:val="en-US"/>
        </w:rPr>
        <w:t xml:space="preserve">ion (the biggest MPR difference exists just between 1CC and 2CCs). This is the case </w:t>
      </w:r>
      <w:r w:rsidR="008F4C46" w:rsidRPr="008434A2">
        <w:rPr>
          <w:lang w:val="en-US"/>
        </w:rPr>
        <w:t>especially</w:t>
      </w:r>
      <w:r w:rsidRPr="008434A2">
        <w:rPr>
          <w:lang w:val="en-US"/>
        </w:rPr>
        <w:t xml:space="preserve"> when applying DFT-S-OFDM transmission in UL. </w:t>
      </w:r>
    </w:p>
    <w:p w14:paraId="29BFAB81" w14:textId="7D971346" w:rsidR="00933174" w:rsidRPr="007E4E13" w:rsidRDefault="00933174" w:rsidP="00933174">
      <w:pPr>
        <w:pStyle w:val="Caption"/>
        <w:keepNext/>
        <w:jc w:val="center"/>
        <w:rPr>
          <w:lang w:val="en-US"/>
        </w:rPr>
      </w:pPr>
      <w:r w:rsidRPr="008434A2">
        <w:rPr>
          <w:lang w:val="en-US"/>
        </w:rPr>
        <w:t xml:space="preserve">Table </w:t>
      </w:r>
      <w:r w:rsidR="004872F0">
        <w:t>3</w:t>
      </w:r>
      <w:r w:rsidRPr="007E4E13">
        <w:rPr>
          <w:lang w:val="en-US"/>
        </w:rPr>
        <w:t>. # of component carriers needed to reach spectrum usage efficiency &gt; 90%, 2.16 GHz CBW.</w:t>
      </w:r>
    </w:p>
    <w:p w14:paraId="39233E45" w14:textId="478A770F" w:rsidR="00933174" w:rsidRPr="007E4E13" w:rsidRDefault="22BA22B7" w:rsidP="00933174">
      <w:pPr>
        <w:spacing w:after="0"/>
        <w:jc w:val="center"/>
      </w:pPr>
      <w:r>
        <w:rPr>
          <w:noProof/>
        </w:rPr>
        <w:drawing>
          <wp:inline distT="0" distB="0" distL="0" distR="0" wp14:anchorId="7E56B37D" wp14:editId="428A2B5D">
            <wp:extent cx="4991102" cy="904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a:extLst>
                        <a:ext uri="{28A0092B-C50C-407E-A947-70E740481C1C}">
                          <a14:useLocalDpi xmlns:a14="http://schemas.microsoft.com/office/drawing/2010/main" val="0"/>
                        </a:ext>
                      </a:extLst>
                    </a:blip>
                    <a:stretch>
                      <a:fillRect/>
                    </a:stretch>
                  </pic:blipFill>
                  <pic:spPr>
                    <a:xfrm>
                      <a:off x="0" y="0"/>
                      <a:ext cx="4991102" cy="904875"/>
                    </a:xfrm>
                    <a:prstGeom prst="rect">
                      <a:avLst/>
                    </a:prstGeom>
                  </pic:spPr>
                </pic:pic>
              </a:graphicData>
            </a:graphic>
          </wp:inline>
        </w:drawing>
      </w:r>
    </w:p>
    <w:p w14:paraId="1818AA35" w14:textId="77777777" w:rsidR="00933174" w:rsidRPr="007E4E13" w:rsidRDefault="00933174" w:rsidP="00933174">
      <w:pPr>
        <w:spacing w:after="0"/>
      </w:pPr>
    </w:p>
    <w:p w14:paraId="054679D7" w14:textId="3F2B8042" w:rsidR="00933174" w:rsidRPr="008434A2" w:rsidRDefault="00933174" w:rsidP="00933174">
      <w:pPr>
        <w:rPr>
          <w:lang w:val="en-US"/>
        </w:rPr>
      </w:pPr>
      <w:r w:rsidRPr="008434A2">
        <w:rPr>
          <w:lang w:val="en-US"/>
        </w:rPr>
        <w:t xml:space="preserve">As shown in Table </w:t>
      </w:r>
      <w:r w:rsidR="004872F0">
        <w:rPr>
          <w:lang w:val="en-US"/>
        </w:rPr>
        <w:t>3</w:t>
      </w:r>
      <w:r w:rsidRPr="008434A2">
        <w:rPr>
          <w:lang w:val="en-US"/>
        </w:rPr>
        <w:t xml:space="preserve">, carrier aggregation provides </w:t>
      </w:r>
      <w:r w:rsidR="00A35744" w:rsidRPr="008434A2">
        <w:rPr>
          <w:lang w:val="en-US"/>
        </w:rPr>
        <w:t>opportunities</w:t>
      </w:r>
      <w:r w:rsidRPr="008434A2">
        <w:rPr>
          <w:lang w:val="en-US"/>
        </w:rPr>
        <w:t xml:space="preserve"> for wideband operation with 120 kHz SCS (at the expense of implementation complexity &amp; overhead). Nevertheless, it allows maximal reuse of FR2 hardware in the scenarios where the phase noise is manageable. Furthermore, it provides efficient coexistence among UEs with different bandwidth capabilities. In order to support CA within a 2.16 GHz band, </w:t>
      </w:r>
      <w:r w:rsidRPr="008434A2">
        <w:rPr>
          <w:i/>
          <w:lang w:val="en-US"/>
        </w:rPr>
        <w:t>n x 400 MHz</w:t>
      </w:r>
      <w:r w:rsidRPr="008434A2">
        <w:rPr>
          <w:lang w:val="en-US"/>
        </w:rPr>
        <w:t xml:space="preserve"> BW capabilities need to be supported (</w:t>
      </w:r>
      <w:r w:rsidRPr="008434A2">
        <w:rPr>
          <w:i/>
          <w:lang w:val="en-US"/>
        </w:rPr>
        <w:t>n</w:t>
      </w:r>
      <w:r w:rsidR="00706034" w:rsidRPr="008434A2">
        <w:rPr>
          <w:i/>
          <w:lang w:val="en-US"/>
        </w:rPr>
        <w:t>= [</w:t>
      </w:r>
      <w:r w:rsidRPr="008434A2">
        <w:rPr>
          <w:i/>
          <w:lang w:val="en-US"/>
        </w:rPr>
        <w:t xml:space="preserve"> 2, 3, 4, 5])</w:t>
      </w:r>
      <w:r w:rsidRPr="008434A2">
        <w:rPr>
          <w:lang w:val="en-US"/>
        </w:rPr>
        <w:t xml:space="preserve">. </w:t>
      </w:r>
    </w:p>
    <w:p w14:paraId="189BBED2" w14:textId="6E559EE6" w:rsidR="00933174" w:rsidRPr="00FC4BFF" w:rsidRDefault="00933174" w:rsidP="00DA2837">
      <w:pPr>
        <w:spacing w:after="0"/>
      </w:pPr>
      <w:r w:rsidRPr="008434A2">
        <w:rPr>
          <w:lang w:val="en-US"/>
        </w:rPr>
        <w:t>There are multiple 2.16 GHz chunks available at 60 GHz band. Based on that it makes sense to consider wideband operation involving multiple 2.16 GHz channels</w:t>
      </w:r>
      <w:r w:rsidR="00DA2837" w:rsidRPr="008434A2">
        <w:rPr>
          <w:lang w:val="en-US"/>
        </w:rPr>
        <w:t xml:space="preserve"> (m*2.16 GHz)</w:t>
      </w:r>
      <w:r w:rsidRPr="008434A2">
        <w:rPr>
          <w:lang w:val="en-US"/>
        </w:rPr>
        <w:t>.</w:t>
      </w:r>
      <w:r w:rsidRPr="007E4E13">
        <w:rPr>
          <w:lang w:val="en-US"/>
        </w:rPr>
        <w:t xml:space="preserve"> </w:t>
      </w:r>
    </w:p>
    <w:p w14:paraId="5EF10944" w14:textId="3364F377" w:rsidR="00933174" w:rsidRPr="00FC4BFF" w:rsidRDefault="00933174" w:rsidP="00933174">
      <w:pPr>
        <w:spacing w:after="0"/>
        <w:rPr>
          <w:lang w:val="en-US"/>
        </w:rPr>
      </w:pPr>
    </w:p>
    <w:p w14:paraId="17878F24" w14:textId="77777777" w:rsidR="00933174" w:rsidRPr="008434A2" w:rsidRDefault="00933174" w:rsidP="00933174">
      <w:pPr>
        <w:spacing w:after="0"/>
        <w:rPr>
          <w:b/>
          <w:iCs/>
          <w:lang w:val="en-US"/>
        </w:rPr>
      </w:pPr>
    </w:p>
    <w:p w14:paraId="5FB73336" w14:textId="39F9269E" w:rsidR="00933174" w:rsidRPr="008434A2" w:rsidRDefault="00933174" w:rsidP="00933174">
      <w:pPr>
        <w:rPr>
          <w:b/>
          <w:iCs/>
          <w:lang w:val="en-US"/>
        </w:rPr>
      </w:pPr>
      <w:r w:rsidRPr="008434A2">
        <w:rPr>
          <w:b/>
          <w:iCs/>
          <w:lang w:val="en-US"/>
        </w:rPr>
        <w:t xml:space="preserve">Proposal </w:t>
      </w:r>
      <w:r w:rsidR="00164CE9" w:rsidRPr="008434A2">
        <w:rPr>
          <w:b/>
          <w:iCs/>
          <w:lang w:val="en-US"/>
        </w:rPr>
        <w:t>5</w:t>
      </w:r>
      <w:r w:rsidRPr="008434A2">
        <w:rPr>
          <w:b/>
          <w:iCs/>
          <w:lang w:val="en-US"/>
        </w:rPr>
        <w:t>:  Support CA within a 2.16 GHz channel, and between 2.16 GHz channels</w:t>
      </w:r>
    </w:p>
    <w:p w14:paraId="1234971B" w14:textId="264B44C1" w:rsidR="00933174" w:rsidRPr="00DA21D6" w:rsidRDefault="00933174" w:rsidP="00933174">
      <w:pPr>
        <w:spacing w:after="0"/>
        <w:rPr>
          <w:b/>
          <w:iCs/>
          <w:lang w:val="en-US"/>
        </w:rPr>
      </w:pPr>
      <w:r w:rsidRPr="008434A2">
        <w:rPr>
          <w:b/>
          <w:iCs/>
          <w:lang w:val="en-US"/>
        </w:rPr>
        <w:t xml:space="preserve">Proposal </w:t>
      </w:r>
      <w:r w:rsidR="00164CE9" w:rsidRPr="008434A2">
        <w:rPr>
          <w:b/>
          <w:iCs/>
          <w:lang w:val="en-US"/>
        </w:rPr>
        <w:t>6</w:t>
      </w:r>
      <w:r w:rsidRPr="008434A2">
        <w:rPr>
          <w:b/>
          <w:iCs/>
          <w:lang w:val="en-US"/>
        </w:rPr>
        <w:t>:  Consider n x 400 MHz, n</w:t>
      </w:r>
      <w:r w:rsidR="00DB3EE1" w:rsidRPr="008434A2">
        <w:rPr>
          <w:b/>
          <w:iCs/>
          <w:lang w:val="en-US"/>
        </w:rPr>
        <w:t>= [</w:t>
      </w:r>
      <w:r w:rsidRPr="008434A2">
        <w:rPr>
          <w:b/>
          <w:iCs/>
          <w:lang w:val="en-US"/>
        </w:rPr>
        <w:t>2, 3, 4, 5] as the supported channel BW options for​ CA operation within a 2.16 GHz channel</w:t>
      </w:r>
      <w:r w:rsidRPr="00DA21D6">
        <w:rPr>
          <w:b/>
          <w:iCs/>
          <w:lang w:val="en-US"/>
        </w:rPr>
        <w:t xml:space="preserve"> </w:t>
      </w:r>
    </w:p>
    <w:p w14:paraId="066A34F8" w14:textId="06959D49" w:rsidR="00D538CC" w:rsidRPr="00D538CC" w:rsidRDefault="00D538CC" w:rsidP="00933174">
      <w:pPr>
        <w:tabs>
          <w:tab w:val="left" w:pos="1896"/>
        </w:tabs>
        <w:spacing w:after="0"/>
        <w:rPr>
          <w:iCs/>
          <w:lang w:val="en-US" w:eastAsia="x-none"/>
        </w:rPr>
      </w:pPr>
    </w:p>
    <w:p w14:paraId="3A7886CD" w14:textId="13C0C4CA" w:rsidR="0012171E" w:rsidRPr="00B53A40" w:rsidRDefault="00065A7B" w:rsidP="005507CC">
      <w:pPr>
        <w:pStyle w:val="Heading1"/>
        <w:rPr>
          <w:lang w:val="en-US" w:eastAsia="zh-CN"/>
        </w:rPr>
      </w:pPr>
      <w:r w:rsidRPr="00B53A40">
        <w:rPr>
          <w:lang w:val="en-US" w:eastAsia="zh-CN"/>
        </w:rPr>
        <w:t>Conclusion</w:t>
      </w:r>
      <w:r w:rsidR="009E2215" w:rsidRPr="00B53A40">
        <w:rPr>
          <w:lang w:val="en-US" w:eastAsia="zh-CN"/>
        </w:rPr>
        <w:t xml:space="preserve"> </w:t>
      </w:r>
    </w:p>
    <w:p w14:paraId="065EDCEF" w14:textId="4CB30FAC" w:rsidR="009E2215" w:rsidRDefault="00DA21D6" w:rsidP="009E2215">
      <w:pPr>
        <w:rPr>
          <w:lang w:val="en-US" w:eastAsia="zh-CN"/>
        </w:rPr>
      </w:pPr>
      <w:r>
        <w:rPr>
          <w:lang w:val="en-US" w:eastAsia="zh-CN"/>
        </w:rPr>
        <w:t>In this contribution numerologies, channel bandwidths and channel arrangement for NR operation above 52.6 GHz was discussed. The following observations and proposals were made</w:t>
      </w:r>
    </w:p>
    <w:p w14:paraId="3B9FA02D" w14:textId="77777777" w:rsidR="007754A1" w:rsidRPr="007754A1" w:rsidRDefault="007754A1" w:rsidP="007754A1">
      <w:pPr>
        <w:rPr>
          <w:b/>
          <w:bCs/>
          <w:lang w:val="en-US" w:eastAsia="zh-CN"/>
        </w:rPr>
      </w:pPr>
      <w:r w:rsidRPr="007754A1">
        <w:rPr>
          <w:b/>
          <w:bCs/>
          <w:lang w:val="en-US" w:eastAsia="zh-CN"/>
        </w:rPr>
        <w:t xml:space="preserve">Observation 1: </w:t>
      </w:r>
      <w:r>
        <w:rPr>
          <w:b/>
          <w:bCs/>
          <w:lang w:val="en-US" w:eastAsia="zh-CN"/>
        </w:rPr>
        <w:t>As applicable SCS has been agreed by RAN#90, RAN4 task is now to develop requirements for those SCS.</w:t>
      </w:r>
    </w:p>
    <w:p w14:paraId="3D4BC95F" w14:textId="77777777" w:rsidR="004872F0" w:rsidRPr="00DA21D6" w:rsidRDefault="004872F0" w:rsidP="004872F0">
      <w:pPr>
        <w:rPr>
          <w:b/>
          <w:iCs/>
          <w:lang w:val="en-US"/>
        </w:rPr>
      </w:pPr>
      <w:r w:rsidRPr="00DA21D6">
        <w:rPr>
          <w:b/>
          <w:iCs/>
          <w:lang w:val="en-US"/>
        </w:rPr>
        <w:t xml:space="preserve">Proposal 1: </w:t>
      </w:r>
      <w:r>
        <w:rPr>
          <w:b/>
          <w:iCs/>
          <w:lang w:val="en-US"/>
        </w:rPr>
        <w:t>Support</w:t>
      </w:r>
      <w:r w:rsidRPr="00DA21D6">
        <w:rPr>
          <w:b/>
          <w:iCs/>
          <w:lang w:val="en-US"/>
        </w:rPr>
        <w:t xml:space="preserve"> channelization according to 2.16 GHz CBW, which is preferred from coexistence point of view.</w:t>
      </w:r>
    </w:p>
    <w:p w14:paraId="1F792312" w14:textId="77777777" w:rsidR="004872F0" w:rsidRPr="00DA21D6" w:rsidRDefault="004872F0" w:rsidP="004872F0">
      <w:pPr>
        <w:rPr>
          <w:b/>
          <w:bCs/>
          <w:lang w:val="en-US"/>
        </w:rPr>
      </w:pPr>
      <w:r w:rsidRPr="5A59F54A">
        <w:rPr>
          <w:b/>
          <w:bCs/>
          <w:lang w:val="en-US"/>
        </w:rPr>
        <w:t>Proposal 2: Support sub-channelization for 2.16 GHz channels to facilitate smooth coexistence for narrowband operation.</w:t>
      </w:r>
    </w:p>
    <w:p w14:paraId="3961EF01" w14:textId="5B6FAC59" w:rsidR="00CA57A0" w:rsidRPr="00DA21D6" w:rsidRDefault="00CA57A0" w:rsidP="00CA57A0">
      <w:pPr>
        <w:rPr>
          <w:b/>
          <w:bCs/>
          <w:lang w:val="en-US"/>
        </w:rPr>
      </w:pPr>
      <w:r w:rsidRPr="4AE885FA">
        <w:rPr>
          <w:b/>
          <w:bCs/>
          <w:lang w:val="en-US"/>
        </w:rPr>
        <w:t>Proposal 3: For operation without CA, support at least the following CBWs: 400 MHz (120 kHz)</w:t>
      </w:r>
      <w:r>
        <w:rPr>
          <w:b/>
          <w:bCs/>
          <w:lang w:val="en-US"/>
        </w:rPr>
        <w:t>, 1600 MHz (480 kHz)</w:t>
      </w:r>
      <w:r w:rsidRPr="4AE885FA">
        <w:rPr>
          <w:b/>
          <w:bCs/>
          <w:lang w:val="en-US"/>
        </w:rPr>
        <w:t xml:space="preserve"> and 2.16 GHz (960 kHz)</w:t>
      </w:r>
    </w:p>
    <w:p w14:paraId="550F930E" w14:textId="76514B12" w:rsidR="00164CE9" w:rsidRPr="004872F0" w:rsidRDefault="00164CE9" w:rsidP="00164CE9">
      <w:pPr>
        <w:spacing w:after="0"/>
        <w:rPr>
          <w:b/>
          <w:bCs/>
          <w:lang w:val="en-US"/>
        </w:rPr>
      </w:pPr>
      <w:r w:rsidRPr="004872F0">
        <w:rPr>
          <w:b/>
          <w:bCs/>
          <w:lang w:val="en-US"/>
        </w:rPr>
        <w:t>Proposal 4: Recommend RAN1 to ensure that channel bandwidths up to 2160 MHz are supported from RAN1 perspective.</w:t>
      </w:r>
    </w:p>
    <w:p w14:paraId="27B9E082" w14:textId="77777777" w:rsidR="00164CE9" w:rsidRPr="00134B22" w:rsidRDefault="00164CE9" w:rsidP="00164CE9">
      <w:pPr>
        <w:spacing w:after="0"/>
        <w:rPr>
          <w:b/>
          <w:bCs/>
          <w:u w:val="single"/>
          <w:lang w:val="en-US"/>
        </w:rPr>
      </w:pPr>
    </w:p>
    <w:p w14:paraId="7FC5B132" w14:textId="09E882D3" w:rsidR="00DA21D6" w:rsidRPr="00DA21D6" w:rsidRDefault="00DA21D6" w:rsidP="00DA21D6">
      <w:pPr>
        <w:rPr>
          <w:b/>
          <w:iCs/>
          <w:lang w:val="en-US"/>
        </w:rPr>
      </w:pPr>
      <w:r w:rsidRPr="00DA21D6">
        <w:rPr>
          <w:b/>
          <w:iCs/>
          <w:lang w:val="en-US"/>
        </w:rPr>
        <w:t xml:space="preserve">Proposal </w:t>
      </w:r>
      <w:r w:rsidR="00164CE9">
        <w:rPr>
          <w:b/>
          <w:iCs/>
          <w:lang w:val="en-US"/>
        </w:rPr>
        <w:t>5</w:t>
      </w:r>
      <w:r w:rsidRPr="00DA21D6">
        <w:rPr>
          <w:b/>
          <w:iCs/>
          <w:lang w:val="en-US"/>
        </w:rPr>
        <w:t>:  Support CA within a 2.16 GHz channel, and between 2.16 GHz channels</w:t>
      </w:r>
    </w:p>
    <w:p w14:paraId="6728B5D6" w14:textId="14944964" w:rsidR="00DA21D6" w:rsidRPr="00B42DBD" w:rsidRDefault="00DA21D6" w:rsidP="00B42DBD">
      <w:pPr>
        <w:spacing w:after="0"/>
        <w:rPr>
          <w:b/>
          <w:iCs/>
          <w:lang w:val="en-US"/>
        </w:rPr>
      </w:pPr>
      <w:r w:rsidRPr="00DA21D6">
        <w:rPr>
          <w:b/>
          <w:iCs/>
          <w:lang w:val="en-US"/>
        </w:rPr>
        <w:t xml:space="preserve">Proposal </w:t>
      </w:r>
      <w:r w:rsidR="00164CE9">
        <w:rPr>
          <w:b/>
          <w:iCs/>
          <w:lang w:val="en-US"/>
        </w:rPr>
        <w:t>6</w:t>
      </w:r>
      <w:r w:rsidRPr="00DA21D6">
        <w:rPr>
          <w:b/>
          <w:iCs/>
          <w:lang w:val="en-US"/>
        </w:rPr>
        <w:t xml:space="preserve">:  Consider n x 400 MHz, n= [2, 3, 4, 5] as the supported channel BW options for​ CA operation within a 2.16 GHz channel </w:t>
      </w:r>
      <w:bookmarkStart w:id="0" w:name="_GoBack"/>
      <w:bookmarkEnd w:id="0"/>
    </w:p>
    <w:p w14:paraId="484E4384" w14:textId="51028002" w:rsidR="00656EE7" w:rsidRPr="00B53A40" w:rsidRDefault="00065A7B" w:rsidP="00065A7B">
      <w:pPr>
        <w:pStyle w:val="Heading1"/>
        <w:numPr>
          <w:ilvl w:val="0"/>
          <w:numId w:val="0"/>
        </w:numPr>
        <w:rPr>
          <w:lang w:val="en-US" w:eastAsia="ja-JP"/>
        </w:rPr>
      </w:pPr>
      <w:r w:rsidRPr="00B53A40">
        <w:rPr>
          <w:lang w:val="en-US" w:eastAsia="ja-JP"/>
        </w:rPr>
        <w:t>References</w:t>
      </w:r>
      <w:r w:rsidR="00904574" w:rsidRPr="00B53A40">
        <w:rPr>
          <w:lang w:val="en-US" w:eastAsia="ja-JP"/>
        </w:rPr>
        <w:t xml:space="preserve"> </w:t>
      </w:r>
    </w:p>
    <w:p w14:paraId="39AB2686" w14:textId="77777777" w:rsidR="00E74969" w:rsidRPr="00B53A40" w:rsidRDefault="00E74969" w:rsidP="00E74969">
      <w:pPr>
        <w:pStyle w:val="ListParagraph"/>
        <w:numPr>
          <w:ilvl w:val="0"/>
          <w:numId w:val="19"/>
        </w:numPr>
        <w:overflowPunct/>
        <w:autoSpaceDE/>
        <w:autoSpaceDN/>
        <w:adjustRightInd/>
        <w:spacing w:after="0" w:line="259" w:lineRule="auto"/>
        <w:ind w:firstLineChars="0"/>
        <w:contextualSpacing/>
        <w:textAlignment w:val="auto"/>
        <w:rPr>
          <w:lang w:val="en-US"/>
        </w:rPr>
      </w:pPr>
      <w:bookmarkStart w:id="1" w:name="_Ref31097917"/>
      <w:bookmarkStart w:id="2" w:name="_Ref31097847"/>
      <w:r w:rsidRPr="00B53A40">
        <w:rPr>
          <w:lang w:val="en-US"/>
        </w:rPr>
        <w:t>RP-193259, “</w:t>
      </w:r>
      <w:r w:rsidRPr="00B53A40">
        <w:rPr>
          <w:i/>
          <w:lang w:val="en-US"/>
        </w:rPr>
        <w:t>New SID: Study on supporting NR from 52.6GHz to 71 GHz</w:t>
      </w:r>
      <w:r w:rsidRPr="00B53A40">
        <w:rPr>
          <w:lang w:val="en-US"/>
        </w:rPr>
        <w:t>”, Intel Corporation</w:t>
      </w:r>
      <w:bookmarkEnd w:id="1"/>
    </w:p>
    <w:p w14:paraId="75F1BC4A" w14:textId="766BEA2D" w:rsidR="00E74969" w:rsidRDefault="00E74969" w:rsidP="00E74969">
      <w:pPr>
        <w:pStyle w:val="ListParagraph"/>
        <w:numPr>
          <w:ilvl w:val="0"/>
          <w:numId w:val="19"/>
        </w:numPr>
        <w:overflowPunct/>
        <w:autoSpaceDE/>
        <w:autoSpaceDN/>
        <w:adjustRightInd/>
        <w:spacing w:after="0" w:line="259" w:lineRule="auto"/>
        <w:ind w:firstLineChars="0"/>
        <w:contextualSpacing/>
        <w:textAlignment w:val="auto"/>
        <w:rPr>
          <w:lang w:val="en-US"/>
        </w:rPr>
      </w:pPr>
      <w:bookmarkStart w:id="3" w:name="_Ref31097951"/>
      <w:r w:rsidRPr="00B53A40">
        <w:rPr>
          <w:lang w:val="en-US"/>
        </w:rPr>
        <w:t>TR 38.807, “</w:t>
      </w:r>
      <w:r w:rsidRPr="00B53A40">
        <w:rPr>
          <w:i/>
          <w:iCs/>
          <w:lang w:val="en-US"/>
        </w:rPr>
        <w:t>Study on requirements for NR beyond 52.6 GHz</w:t>
      </w:r>
      <w:r w:rsidRPr="00B53A40">
        <w:rPr>
          <w:lang w:val="en-US"/>
        </w:rPr>
        <w:t>”, 3GPP</w:t>
      </w:r>
      <w:bookmarkEnd w:id="2"/>
      <w:bookmarkEnd w:id="3"/>
    </w:p>
    <w:p w14:paraId="2503BB3B" w14:textId="4E82A7D8" w:rsidR="0058691B" w:rsidRDefault="0058691B" w:rsidP="00E74969">
      <w:pPr>
        <w:pStyle w:val="ListParagraph"/>
        <w:numPr>
          <w:ilvl w:val="0"/>
          <w:numId w:val="19"/>
        </w:numPr>
        <w:overflowPunct/>
        <w:autoSpaceDE/>
        <w:autoSpaceDN/>
        <w:adjustRightInd/>
        <w:spacing w:after="0" w:line="259" w:lineRule="auto"/>
        <w:ind w:firstLineChars="0"/>
        <w:contextualSpacing/>
        <w:textAlignment w:val="auto"/>
        <w:rPr>
          <w:lang w:val="en-US"/>
        </w:rPr>
      </w:pPr>
      <w:r>
        <w:rPr>
          <w:lang w:val="en-US"/>
        </w:rPr>
        <w:t>RP-202925, Revised-WID: Extending current NR operation to 71 GHz, CMCC</w:t>
      </w:r>
    </w:p>
    <w:p w14:paraId="056DEE1A" w14:textId="185134BD" w:rsidR="0058691B" w:rsidRPr="00B53A40" w:rsidRDefault="0058691B" w:rsidP="00E74969">
      <w:pPr>
        <w:pStyle w:val="ListParagraph"/>
        <w:numPr>
          <w:ilvl w:val="0"/>
          <w:numId w:val="19"/>
        </w:numPr>
        <w:overflowPunct/>
        <w:autoSpaceDE/>
        <w:autoSpaceDN/>
        <w:adjustRightInd/>
        <w:spacing w:after="0" w:line="259" w:lineRule="auto"/>
        <w:ind w:firstLineChars="0"/>
        <w:contextualSpacing/>
        <w:textAlignment w:val="auto"/>
        <w:rPr>
          <w:lang w:val="en-US"/>
        </w:rPr>
      </w:pPr>
      <w:r>
        <w:rPr>
          <w:lang w:val="en-US"/>
        </w:rPr>
        <w:t>R4-2017832, WF on Min and Max Channel Bandwidths in 52 to 71 GHz, Huawei</w:t>
      </w:r>
    </w:p>
    <w:p w14:paraId="67F5A6DD" w14:textId="200A0FA7" w:rsidR="00065A7B" w:rsidRDefault="003E2003" w:rsidP="00B53A40">
      <w:pPr>
        <w:pStyle w:val="ListParagraph"/>
        <w:numPr>
          <w:ilvl w:val="0"/>
          <w:numId w:val="19"/>
        </w:numPr>
        <w:overflowPunct/>
        <w:autoSpaceDE/>
        <w:autoSpaceDN/>
        <w:adjustRightInd/>
        <w:spacing w:after="0" w:line="259" w:lineRule="auto"/>
        <w:ind w:firstLineChars="0"/>
        <w:contextualSpacing/>
        <w:textAlignment w:val="auto"/>
        <w:rPr>
          <w:lang w:val="en-US"/>
        </w:rPr>
      </w:pPr>
      <w:bookmarkStart w:id="4" w:name="_Ref53500542"/>
      <w:r>
        <w:rPr>
          <w:lang w:val="en-US"/>
        </w:rPr>
        <w:t>R4-2011838, “WF on numerologies for FS_NR_52_to_71GHz”, Intel Corporation</w:t>
      </w:r>
      <w:bookmarkEnd w:id="4"/>
    </w:p>
    <w:p w14:paraId="2930B022" w14:textId="23E36ABE" w:rsidR="003E2003" w:rsidRPr="001040A6" w:rsidRDefault="001040A6" w:rsidP="001040A6">
      <w:pPr>
        <w:pStyle w:val="ListParagraph"/>
        <w:numPr>
          <w:ilvl w:val="0"/>
          <w:numId w:val="19"/>
        </w:numPr>
        <w:overflowPunct/>
        <w:autoSpaceDE/>
        <w:autoSpaceDN/>
        <w:adjustRightInd/>
        <w:spacing w:after="0" w:line="259" w:lineRule="auto"/>
        <w:ind w:firstLineChars="0"/>
        <w:contextualSpacing/>
        <w:textAlignment w:val="auto"/>
      </w:pPr>
      <w:r w:rsidRPr="001040A6">
        <w:t>Recommendation ITU-R M.2003-2 (01/2018), “Multiple Gigabit Wireless Systems in frequencies around 60 GHz”, ITU-R </w:t>
      </w:r>
    </w:p>
    <w:p w14:paraId="2200408F" w14:textId="1DD4E745" w:rsidR="005507CC" w:rsidRDefault="001040A6" w:rsidP="001040A6">
      <w:pPr>
        <w:pStyle w:val="ListParagraph"/>
        <w:numPr>
          <w:ilvl w:val="0"/>
          <w:numId w:val="19"/>
        </w:numPr>
        <w:overflowPunct/>
        <w:autoSpaceDE/>
        <w:autoSpaceDN/>
        <w:adjustRightInd/>
        <w:spacing w:after="0" w:line="259" w:lineRule="auto"/>
        <w:ind w:firstLineChars="0"/>
        <w:contextualSpacing/>
        <w:textAlignment w:val="auto"/>
      </w:pPr>
      <w:r w:rsidRPr="001040A6">
        <w:t>R1-2003813, “Performance of existing DL NR waveform at beyond 52.6 GHz”, Nokia, Nokia Shanghai Bell. </w:t>
      </w:r>
    </w:p>
    <w:p w14:paraId="32BD75D7" w14:textId="5B191046" w:rsidR="00CF180E" w:rsidRPr="004872F0" w:rsidRDefault="00CF180E" w:rsidP="001040A6">
      <w:pPr>
        <w:pStyle w:val="ListParagraph"/>
        <w:numPr>
          <w:ilvl w:val="0"/>
          <w:numId w:val="19"/>
        </w:numPr>
        <w:overflowPunct/>
        <w:autoSpaceDE/>
        <w:autoSpaceDN/>
        <w:adjustRightInd/>
        <w:spacing w:after="0" w:line="259" w:lineRule="auto"/>
        <w:ind w:firstLineChars="0"/>
        <w:contextualSpacing/>
        <w:textAlignment w:val="auto"/>
        <w:rPr>
          <w:rStyle w:val="eop"/>
        </w:rPr>
      </w:pPr>
      <w:r>
        <w:rPr>
          <w:rStyle w:val="normaltextrun"/>
          <w:color w:val="000000"/>
          <w:shd w:val="clear" w:color="auto" w:fill="FFFFFF"/>
        </w:rPr>
        <w:t>TS 38.211, “</w:t>
      </w:r>
      <w:r>
        <w:rPr>
          <w:rStyle w:val="normaltextrun"/>
          <w:i/>
          <w:iCs/>
          <w:color w:val="000000"/>
          <w:shd w:val="clear" w:color="auto" w:fill="FFFFFF"/>
        </w:rPr>
        <w:t>Physical channels and modulation</w:t>
      </w:r>
      <w:r>
        <w:rPr>
          <w:rStyle w:val="normaltextrun"/>
          <w:color w:val="000000"/>
          <w:shd w:val="clear" w:color="auto" w:fill="FFFFFF"/>
        </w:rPr>
        <w:t>”, 3GPP</w:t>
      </w:r>
      <w:r>
        <w:rPr>
          <w:rStyle w:val="eop"/>
          <w:color w:val="000000"/>
          <w:shd w:val="clear" w:color="auto" w:fill="FFFFFF"/>
        </w:rPr>
        <w:t> </w:t>
      </w:r>
    </w:p>
    <w:p w14:paraId="6B923E45" w14:textId="22851784" w:rsidR="00CF180E" w:rsidRPr="004872F0" w:rsidRDefault="00CF180E" w:rsidP="001040A6">
      <w:pPr>
        <w:pStyle w:val="ListParagraph"/>
        <w:numPr>
          <w:ilvl w:val="0"/>
          <w:numId w:val="19"/>
        </w:numPr>
        <w:overflowPunct/>
        <w:autoSpaceDE/>
        <w:autoSpaceDN/>
        <w:adjustRightInd/>
        <w:spacing w:after="0" w:line="259" w:lineRule="auto"/>
        <w:ind w:firstLineChars="0"/>
        <w:contextualSpacing/>
        <w:textAlignment w:val="auto"/>
        <w:rPr>
          <w:rStyle w:val="eop"/>
        </w:rPr>
      </w:pPr>
      <w:r>
        <w:rPr>
          <w:rStyle w:val="normaltextrun"/>
          <w:color w:val="000000"/>
          <w:shd w:val="clear" w:color="auto" w:fill="FFFFFF"/>
        </w:rPr>
        <w:t>TR 38.808, “</w:t>
      </w:r>
      <w:r>
        <w:rPr>
          <w:rStyle w:val="normaltextrun"/>
          <w:i/>
          <w:iCs/>
          <w:color w:val="000000"/>
          <w:shd w:val="clear" w:color="auto" w:fill="FFFFFF"/>
        </w:rPr>
        <w:t>Study on supporting NR from 52.6GHz to 71 GHz</w:t>
      </w:r>
      <w:r>
        <w:rPr>
          <w:rStyle w:val="normaltextrun"/>
          <w:color w:val="000000"/>
          <w:shd w:val="clear" w:color="auto" w:fill="FFFFFF"/>
        </w:rPr>
        <w:t>", 3GPP </w:t>
      </w:r>
    </w:p>
    <w:p w14:paraId="66E3F97E" w14:textId="20B9D7B0" w:rsidR="007E4E13" w:rsidRPr="00B42DBD" w:rsidRDefault="007E4E13" w:rsidP="001040A6">
      <w:pPr>
        <w:pStyle w:val="ListParagraph"/>
        <w:numPr>
          <w:ilvl w:val="0"/>
          <w:numId w:val="19"/>
        </w:numPr>
        <w:overflowPunct/>
        <w:autoSpaceDE/>
        <w:autoSpaceDN/>
        <w:adjustRightInd/>
        <w:spacing w:after="0" w:line="259" w:lineRule="auto"/>
        <w:ind w:firstLineChars="0"/>
        <w:contextualSpacing/>
        <w:textAlignment w:val="auto"/>
      </w:pPr>
      <w:r>
        <w:rPr>
          <w:rStyle w:val="eop"/>
          <w:color w:val="000000"/>
          <w:shd w:val="clear" w:color="auto" w:fill="FFFFFF"/>
        </w:rPr>
        <w:t xml:space="preserve"> </w:t>
      </w:r>
      <w:r w:rsidRPr="00B42DBD">
        <w:rPr>
          <w:rStyle w:val="eop"/>
          <w:color w:val="000000"/>
          <w:shd w:val="clear" w:color="auto" w:fill="FFFFFF"/>
        </w:rPr>
        <w:t>R4-210</w:t>
      </w:r>
      <w:r w:rsidR="00B42DBD" w:rsidRPr="00B42DBD">
        <w:rPr>
          <w:rStyle w:val="eop"/>
          <w:color w:val="000000"/>
          <w:shd w:val="clear" w:color="auto" w:fill="FFFFFF"/>
        </w:rPr>
        <w:t>2009</w:t>
      </w:r>
      <w:r w:rsidRPr="00B42DBD">
        <w:rPr>
          <w:rStyle w:val="eop"/>
          <w:color w:val="000000"/>
          <w:shd w:val="clear" w:color="auto" w:fill="FFFFFF"/>
        </w:rPr>
        <w:t>, “</w:t>
      </w:r>
      <w:r w:rsidR="00B42DBD" w:rsidRPr="00B42DBD">
        <w:rPr>
          <w:rStyle w:val="eop"/>
          <w:i/>
          <w:iCs/>
          <w:color w:val="000000"/>
          <w:shd w:val="clear" w:color="auto" w:fill="FFFFFF"/>
        </w:rPr>
        <w:t>TP to TR 38.808: Timing considerations for operation between 52.6 and 71 GHz</w:t>
      </w:r>
      <w:r w:rsidRPr="00B42DBD">
        <w:rPr>
          <w:rStyle w:val="eop"/>
          <w:color w:val="000000"/>
          <w:shd w:val="clear" w:color="auto" w:fill="FFFFFF"/>
        </w:rPr>
        <w:t>”, Nokia, Nokia Shanghai Bell</w:t>
      </w:r>
    </w:p>
    <w:sectPr w:rsidR="007E4E13" w:rsidRPr="00B42DB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F0C5F" w14:textId="77777777" w:rsidR="007A3E41" w:rsidRDefault="007A3E41" w:rsidP="001E365C">
      <w:pPr>
        <w:spacing w:after="0"/>
      </w:pPr>
      <w:r>
        <w:separator/>
      </w:r>
    </w:p>
  </w:endnote>
  <w:endnote w:type="continuationSeparator" w:id="0">
    <w:p w14:paraId="53A0433B" w14:textId="77777777" w:rsidR="007A3E41" w:rsidRDefault="007A3E41" w:rsidP="001E365C">
      <w:pPr>
        <w:spacing w:after="0"/>
      </w:pPr>
      <w:r>
        <w:continuationSeparator/>
      </w:r>
    </w:p>
  </w:endnote>
  <w:endnote w:type="continuationNotice" w:id="1">
    <w:p w14:paraId="219B7654" w14:textId="77777777" w:rsidR="007A3E41" w:rsidRDefault="007A3E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CF180E" w:rsidRDefault="00CF18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CF180E" w:rsidRDefault="00CF180E">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CF180E" w:rsidRPr="002C23F3" w:rsidRDefault="00CF180E"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5367E6B0">
            <v:shapetype id="_x0000_t202" coordsize="21600,21600" o:spt="202" path="m,l,21600r21600,l21600,xe" w14:anchorId="367EFB28">
              <v:stroke joinstyle="miter"/>
              <v:path gradientshapeok="t" o:connecttype="rect"/>
            </v:shapetype>
            <v:shape id="MSIPCM5788478dbf7b40ce642f1704"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699574231,&quot;Height&quot;:842.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v:textbox inset="20pt,0,,0">
                <w:txbxContent>
                  <w:p w:rsidRPr="002C23F3" w:rsidR="00CF180E" w:rsidP="002C23F3" w:rsidRDefault="00CF180E" w14:paraId="672A6659" w14:textId="350F1A55">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CF180E" w:rsidRDefault="00CF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5DE6D" w14:textId="77777777" w:rsidR="007A3E41" w:rsidRDefault="007A3E41" w:rsidP="001E365C">
      <w:pPr>
        <w:spacing w:after="0"/>
      </w:pPr>
      <w:r>
        <w:separator/>
      </w:r>
    </w:p>
  </w:footnote>
  <w:footnote w:type="continuationSeparator" w:id="0">
    <w:p w14:paraId="0E9FF1E2" w14:textId="77777777" w:rsidR="007A3E41" w:rsidRDefault="007A3E41" w:rsidP="001E365C">
      <w:pPr>
        <w:spacing w:after="0"/>
      </w:pPr>
      <w:r>
        <w:continuationSeparator/>
      </w:r>
    </w:p>
  </w:footnote>
  <w:footnote w:type="continuationNotice" w:id="1">
    <w:p w14:paraId="44F68B49" w14:textId="77777777" w:rsidR="007A3E41" w:rsidRDefault="007A3E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CF180E" w:rsidRDefault="00CF18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CF180E" w:rsidRDefault="00CF18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CF180E" w:rsidRDefault="00CF18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78E"/>
    <w:multiLevelType w:val="multilevel"/>
    <w:tmpl w:val="CA8AA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9310FE"/>
    <w:multiLevelType w:val="multilevel"/>
    <w:tmpl w:val="1554A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722B89"/>
    <w:multiLevelType w:val="hybridMultilevel"/>
    <w:tmpl w:val="C28AB46C"/>
    <w:lvl w:ilvl="0" w:tplc="0000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4687D1C"/>
    <w:multiLevelType w:val="hybridMultilevel"/>
    <w:tmpl w:val="14687D1C"/>
    <w:lvl w:ilvl="0" w:tplc="B5B6AA78">
      <w:numFmt w:val="bullet"/>
      <w:lvlText w:val="-"/>
      <w:lvlJc w:val="left"/>
      <w:pPr>
        <w:ind w:left="720" w:hanging="360"/>
      </w:pPr>
      <w:rPr>
        <w:rFonts w:ascii="Times New Roman" w:eastAsia="Yu Mincho" w:hAnsi="Times New Roman" w:cs="Times New Roman" w:hint="default"/>
      </w:rPr>
    </w:lvl>
    <w:lvl w:ilvl="1" w:tplc="33EE78C6">
      <w:start w:val="1"/>
      <w:numFmt w:val="bullet"/>
      <w:lvlText w:val="o"/>
      <w:lvlJc w:val="left"/>
      <w:pPr>
        <w:ind w:left="1440" w:hanging="360"/>
      </w:pPr>
      <w:rPr>
        <w:rFonts w:ascii="Courier New" w:hAnsi="Courier New" w:cs="Courier New" w:hint="default"/>
      </w:rPr>
    </w:lvl>
    <w:lvl w:ilvl="2" w:tplc="A774AAAC">
      <w:start w:val="1"/>
      <w:numFmt w:val="bullet"/>
      <w:lvlText w:val=""/>
      <w:lvlJc w:val="left"/>
      <w:pPr>
        <w:ind w:left="2160" w:hanging="360"/>
      </w:pPr>
      <w:rPr>
        <w:rFonts w:ascii="Wingdings" w:hAnsi="Wingdings" w:hint="default"/>
      </w:rPr>
    </w:lvl>
    <w:lvl w:ilvl="3" w:tplc="3948CA68">
      <w:start w:val="1"/>
      <w:numFmt w:val="bullet"/>
      <w:lvlText w:val=""/>
      <w:lvlJc w:val="left"/>
      <w:pPr>
        <w:ind w:left="2880" w:hanging="360"/>
      </w:pPr>
      <w:rPr>
        <w:rFonts w:ascii="Symbol" w:hAnsi="Symbol" w:hint="default"/>
      </w:rPr>
    </w:lvl>
    <w:lvl w:ilvl="4" w:tplc="97CAD028">
      <w:start w:val="1"/>
      <w:numFmt w:val="bullet"/>
      <w:lvlText w:val="o"/>
      <w:lvlJc w:val="left"/>
      <w:pPr>
        <w:ind w:left="3600" w:hanging="360"/>
      </w:pPr>
      <w:rPr>
        <w:rFonts w:ascii="Courier New" w:hAnsi="Courier New" w:cs="Courier New" w:hint="default"/>
      </w:rPr>
    </w:lvl>
    <w:lvl w:ilvl="5" w:tplc="13E6BF20">
      <w:start w:val="1"/>
      <w:numFmt w:val="bullet"/>
      <w:lvlText w:val=""/>
      <w:lvlJc w:val="left"/>
      <w:pPr>
        <w:ind w:left="4320" w:hanging="360"/>
      </w:pPr>
      <w:rPr>
        <w:rFonts w:ascii="Wingdings" w:hAnsi="Wingdings" w:hint="default"/>
      </w:rPr>
    </w:lvl>
    <w:lvl w:ilvl="6" w:tplc="C178A638">
      <w:start w:val="1"/>
      <w:numFmt w:val="bullet"/>
      <w:lvlText w:val=""/>
      <w:lvlJc w:val="left"/>
      <w:pPr>
        <w:ind w:left="5040" w:hanging="360"/>
      </w:pPr>
      <w:rPr>
        <w:rFonts w:ascii="Symbol" w:hAnsi="Symbol" w:hint="default"/>
      </w:rPr>
    </w:lvl>
    <w:lvl w:ilvl="7" w:tplc="6376FA44">
      <w:start w:val="1"/>
      <w:numFmt w:val="bullet"/>
      <w:lvlText w:val="o"/>
      <w:lvlJc w:val="left"/>
      <w:pPr>
        <w:ind w:left="5760" w:hanging="360"/>
      </w:pPr>
      <w:rPr>
        <w:rFonts w:ascii="Courier New" w:hAnsi="Courier New" w:cs="Courier New" w:hint="default"/>
      </w:rPr>
    </w:lvl>
    <w:lvl w:ilvl="8" w:tplc="A4E46010">
      <w:start w:val="1"/>
      <w:numFmt w:val="bullet"/>
      <w:lvlText w:val=""/>
      <w:lvlJc w:val="left"/>
      <w:pPr>
        <w:ind w:left="6480" w:hanging="360"/>
      </w:pPr>
      <w:rPr>
        <w:rFonts w:ascii="Wingdings" w:hAnsi="Wingdings" w:hint="default"/>
      </w:rPr>
    </w:lvl>
  </w:abstractNum>
  <w:abstractNum w:abstractNumId="6" w15:restartNumberingAfterBreak="0">
    <w:nsid w:val="159537C6"/>
    <w:multiLevelType w:val="hybridMultilevel"/>
    <w:tmpl w:val="D2128296"/>
    <w:lvl w:ilvl="0" w:tplc="4F560E70">
      <w:start w:val="1"/>
      <w:numFmt w:val="bullet"/>
      <w:lvlText w:val="•"/>
      <w:lvlJc w:val="left"/>
      <w:pPr>
        <w:tabs>
          <w:tab w:val="num" w:pos="720"/>
        </w:tabs>
        <w:ind w:left="720" w:hanging="360"/>
      </w:pPr>
      <w:rPr>
        <w:rFonts w:ascii="Arial" w:hAnsi="Arial" w:hint="default"/>
      </w:rPr>
    </w:lvl>
    <w:lvl w:ilvl="1" w:tplc="218EB68A" w:tentative="1">
      <w:start w:val="1"/>
      <w:numFmt w:val="bullet"/>
      <w:lvlText w:val="•"/>
      <w:lvlJc w:val="left"/>
      <w:pPr>
        <w:tabs>
          <w:tab w:val="num" w:pos="1440"/>
        </w:tabs>
        <w:ind w:left="1440" w:hanging="360"/>
      </w:pPr>
      <w:rPr>
        <w:rFonts w:ascii="Arial" w:hAnsi="Arial" w:hint="default"/>
      </w:rPr>
    </w:lvl>
    <w:lvl w:ilvl="2" w:tplc="748A6D38" w:tentative="1">
      <w:start w:val="1"/>
      <w:numFmt w:val="bullet"/>
      <w:lvlText w:val="•"/>
      <w:lvlJc w:val="left"/>
      <w:pPr>
        <w:tabs>
          <w:tab w:val="num" w:pos="2160"/>
        </w:tabs>
        <w:ind w:left="2160" w:hanging="360"/>
      </w:pPr>
      <w:rPr>
        <w:rFonts w:ascii="Arial" w:hAnsi="Arial" w:hint="default"/>
      </w:rPr>
    </w:lvl>
    <w:lvl w:ilvl="3" w:tplc="5DEA7524" w:tentative="1">
      <w:start w:val="1"/>
      <w:numFmt w:val="bullet"/>
      <w:lvlText w:val="•"/>
      <w:lvlJc w:val="left"/>
      <w:pPr>
        <w:tabs>
          <w:tab w:val="num" w:pos="2880"/>
        </w:tabs>
        <w:ind w:left="2880" w:hanging="360"/>
      </w:pPr>
      <w:rPr>
        <w:rFonts w:ascii="Arial" w:hAnsi="Arial" w:hint="default"/>
      </w:rPr>
    </w:lvl>
    <w:lvl w:ilvl="4" w:tplc="5BD0CF66" w:tentative="1">
      <w:start w:val="1"/>
      <w:numFmt w:val="bullet"/>
      <w:lvlText w:val="•"/>
      <w:lvlJc w:val="left"/>
      <w:pPr>
        <w:tabs>
          <w:tab w:val="num" w:pos="3600"/>
        </w:tabs>
        <w:ind w:left="3600" w:hanging="360"/>
      </w:pPr>
      <w:rPr>
        <w:rFonts w:ascii="Arial" w:hAnsi="Arial" w:hint="default"/>
      </w:rPr>
    </w:lvl>
    <w:lvl w:ilvl="5" w:tplc="FEDAB4B4" w:tentative="1">
      <w:start w:val="1"/>
      <w:numFmt w:val="bullet"/>
      <w:lvlText w:val="•"/>
      <w:lvlJc w:val="left"/>
      <w:pPr>
        <w:tabs>
          <w:tab w:val="num" w:pos="4320"/>
        </w:tabs>
        <w:ind w:left="4320" w:hanging="360"/>
      </w:pPr>
      <w:rPr>
        <w:rFonts w:ascii="Arial" w:hAnsi="Arial" w:hint="default"/>
      </w:rPr>
    </w:lvl>
    <w:lvl w:ilvl="6" w:tplc="D39A79AC" w:tentative="1">
      <w:start w:val="1"/>
      <w:numFmt w:val="bullet"/>
      <w:lvlText w:val="•"/>
      <w:lvlJc w:val="left"/>
      <w:pPr>
        <w:tabs>
          <w:tab w:val="num" w:pos="5040"/>
        </w:tabs>
        <w:ind w:left="5040" w:hanging="360"/>
      </w:pPr>
      <w:rPr>
        <w:rFonts w:ascii="Arial" w:hAnsi="Arial" w:hint="default"/>
      </w:rPr>
    </w:lvl>
    <w:lvl w:ilvl="7" w:tplc="3FFAA480" w:tentative="1">
      <w:start w:val="1"/>
      <w:numFmt w:val="bullet"/>
      <w:lvlText w:val="•"/>
      <w:lvlJc w:val="left"/>
      <w:pPr>
        <w:tabs>
          <w:tab w:val="num" w:pos="5760"/>
        </w:tabs>
        <w:ind w:left="5760" w:hanging="360"/>
      </w:pPr>
      <w:rPr>
        <w:rFonts w:ascii="Arial" w:hAnsi="Arial" w:hint="default"/>
      </w:rPr>
    </w:lvl>
    <w:lvl w:ilvl="8" w:tplc="597C49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C027AD"/>
    <w:multiLevelType w:val="hybridMultilevel"/>
    <w:tmpl w:val="BD4490AE"/>
    <w:lvl w:ilvl="0" w:tplc="81C85FF4">
      <w:start w:val="1"/>
      <w:numFmt w:val="bullet"/>
      <w:lvlText w:val=""/>
      <w:lvlJc w:val="left"/>
      <w:pPr>
        <w:tabs>
          <w:tab w:val="num" w:pos="720"/>
        </w:tabs>
        <w:ind w:left="720" w:hanging="360"/>
      </w:pPr>
      <w:rPr>
        <w:rFonts w:ascii="Symbol" w:hAnsi="Symbol" w:hint="default"/>
        <w:sz w:val="20"/>
      </w:rPr>
    </w:lvl>
    <w:lvl w:ilvl="1" w:tplc="A4BEB748" w:tentative="1">
      <w:start w:val="1"/>
      <w:numFmt w:val="bullet"/>
      <w:lvlText w:val=""/>
      <w:lvlJc w:val="left"/>
      <w:pPr>
        <w:tabs>
          <w:tab w:val="num" w:pos="1440"/>
        </w:tabs>
        <w:ind w:left="1440" w:hanging="360"/>
      </w:pPr>
      <w:rPr>
        <w:rFonts w:ascii="Symbol" w:hAnsi="Symbol" w:hint="default"/>
        <w:sz w:val="20"/>
      </w:rPr>
    </w:lvl>
    <w:lvl w:ilvl="2" w:tplc="D9B8F55C" w:tentative="1">
      <w:start w:val="1"/>
      <w:numFmt w:val="bullet"/>
      <w:lvlText w:val=""/>
      <w:lvlJc w:val="left"/>
      <w:pPr>
        <w:tabs>
          <w:tab w:val="num" w:pos="2160"/>
        </w:tabs>
        <w:ind w:left="2160" w:hanging="360"/>
      </w:pPr>
      <w:rPr>
        <w:rFonts w:ascii="Symbol" w:hAnsi="Symbol" w:hint="default"/>
        <w:sz w:val="20"/>
      </w:rPr>
    </w:lvl>
    <w:lvl w:ilvl="3" w:tplc="4E28E714" w:tentative="1">
      <w:start w:val="1"/>
      <w:numFmt w:val="bullet"/>
      <w:lvlText w:val=""/>
      <w:lvlJc w:val="left"/>
      <w:pPr>
        <w:tabs>
          <w:tab w:val="num" w:pos="2880"/>
        </w:tabs>
        <w:ind w:left="2880" w:hanging="360"/>
      </w:pPr>
      <w:rPr>
        <w:rFonts w:ascii="Symbol" w:hAnsi="Symbol" w:hint="default"/>
        <w:sz w:val="20"/>
      </w:rPr>
    </w:lvl>
    <w:lvl w:ilvl="4" w:tplc="857A268C" w:tentative="1">
      <w:start w:val="1"/>
      <w:numFmt w:val="bullet"/>
      <w:lvlText w:val=""/>
      <w:lvlJc w:val="left"/>
      <w:pPr>
        <w:tabs>
          <w:tab w:val="num" w:pos="3600"/>
        </w:tabs>
        <w:ind w:left="3600" w:hanging="360"/>
      </w:pPr>
      <w:rPr>
        <w:rFonts w:ascii="Symbol" w:hAnsi="Symbol" w:hint="default"/>
        <w:sz w:val="20"/>
      </w:rPr>
    </w:lvl>
    <w:lvl w:ilvl="5" w:tplc="479EE28E" w:tentative="1">
      <w:start w:val="1"/>
      <w:numFmt w:val="bullet"/>
      <w:lvlText w:val=""/>
      <w:lvlJc w:val="left"/>
      <w:pPr>
        <w:tabs>
          <w:tab w:val="num" w:pos="4320"/>
        </w:tabs>
        <w:ind w:left="4320" w:hanging="360"/>
      </w:pPr>
      <w:rPr>
        <w:rFonts w:ascii="Symbol" w:hAnsi="Symbol" w:hint="default"/>
        <w:sz w:val="20"/>
      </w:rPr>
    </w:lvl>
    <w:lvl w:ilvl="6" w:tplc="FC3416B0" w:tentative="1">
      <w:start w:val="1"/>
      <w:numFmt w:val="bullet"/>
      <w:lvlText w:val=""/>
      <w:lvlJc w:val="left"/>
      <w:pPr>
        <w:tabs>
          <w:tab w:val="num" w:pos="5040"/>
        </w:tabs>
        <w:ind w:left="5040" w:hanging="360"/>
      </w:pPr>
      <w:rPr>
        <w:rFonts w:ascii="Symbol" w:hAnsi="Symbol" w:hint="default"/>
        <w:sz w:val="20"/>
      </w:rPr>
    </w:lvl>
    <w:lvl w:ilvl="7" w:tplc="A60806DC" w:tentative="1">
      <w:start w:val="1"/>
      <w:numFmt w:val="bullet"/>
      <w:lvlText w:val=""/>
      <w:lvlJc w:val="left"/>
      <w:pPr>
        <w:tabs>
          <w:tab w:val="num" w:pos="5760"/>
        </w:tabs>
        <w:ind w:left="5760" w:hanging="360"/>
      </w:pPr>
      <w:rPr>
        <w:rFonts w:ascii="Symbol" w:hAnsi="Symbol" w:hint="default"/>
        <w:sz w:val="20"/>
      </w:rPr>
    </w:lvl>
    <w:lvl w:ilvl="8" w:tplc="9D2C4080"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22D03A54"/>
    <w:multiLevelType w:val="hybridMultilevel"/>
    <w:tmpl w:val="22D03A54"/>
    <w:lvl w:ilvl="0" w:tplc="30FCAC9E">
      <w:start w:val="1"/>
      <w:numFmt w:val="bullet"/>
      <w:lvlText w:val=""/>
      <w:lvlJc w:val="left"/>
      <w:pPr>
        <w:ind w:left="720" w:hanging="360"/>
      </w:pPr>
      <w:rPr>
        <w:rFonts w:ascii="Symbol" w:hAnsi="Symbol" w:hint="default"/>
      </w:rPr>
    </w:lvl>
    <w:lvl w:ilvl="1" w:tplc="DAF8FA06">
      <w:start w:val="1"/>
      <w:numFmt w:val="bullet"/>
      <w:lvlText w:val="o"/>
      <w:lvlJc w:val="left"/>
      <w:pPr>
        <w:ind w:left="1440" w:hanging="360"/>
      </w:pPr>
      <w:rPr>
        <w:rFonts w:ascii="Courier New" w:hAnsi="Courier New" w:cs="Courier New" w:hint="default"/>
      </w:rPr>
    </w:lvl>
    <w:lvl w:ilvl="2" w:tplc="3CB2F19C">
      <w:start w:val="1"/>
      <w:numFmt w:val="bullet"/>
      <w:lvlText w:val=""/>
      <w:lvlJc w:val="left"/>
      <w:pPr>
        <w:ind w:left="2160" w:hanging="360"/>
      </w:pPr>
      <w:rPr>
        <w:rFonts w:ascii="Wingdings" w:hAnsi="Wingdings" w:hint="default"/>
      </w:rPr>
    </w:lvl>
    <w:lvl w:ilvl="3" w:tplc="8712548A">
      <w:start w:val="1"/>
      <w:numFmt w:val="bullet"/>
      <w:lvlText w:val=""/>
      <w:lvlJc w:val="left"/>
      <w:pPr>
        <w:ind w:left="2880" w:hanging="360"/>
      </w:pPr>
      <w:rPr>
        <w:rFonts w:ascii="Symbol" w:hAnsi="Symbol" w:hint="default"/>
      </w:rPr>
    </w:lvl>
    <w:lvl w:ilvl="4" w:tplc="C114A650">
      <w:start w:val="1"/>
      <w:numFmt w:val="bullet"/>
      <w:lvlText w:val="o"/>
      <w:lvlJc w:val="left"/>
      <w:pPr>
        <w:ind w:left="3600" w:hanging="360"/>
      </w:pPr>
      <w:rPr>
        <w:rFonts w:ascii="Courier New" w:hAnsi="Courier New" w:cs="Courier New" w:hint="default"/>
      </w:rPr>
    </w:lvl>
    <w:lvl w:ilvl="5" w:tplc="E73ECB46">
      <w:start w:val="1"/>
      <w:numFmt w:val="bullet"/>
      <w:lvlText w:val=""/>
      <w:lvlJc w:val="left"/>
      <w:pPr>
        <w:ind w:left="4320" w:hanging="360"/>
      </w:pPr>
      <w:rPr>
        <w:rFonts w:ascii="Wingdings" w:hAnsi="Wingdings" w:hint="default"/>
      </w:rPr>
    </w:lvl>
    <w:lvl w:ilvl="6" w:tplc="BDD05BE6">
      <w:start w:val="1"/>
      <w:numFmt w:val="bullet"/>
      <w:lvlText w:val=""/>
      <w:lvlJc w:val="left"/>
      <w:pPr>
        <w:ind w:left="5040" w:hanging="360"/>
      </w:pPr>
      <w:rPr>
        <w:rFonts w:ascii="Symbol" w:hAnsi="Symbol" w:hint="default"/>
      </w:rPr>
    </w:lvl>
    <w:lvl w:ilvl="7" w:tplc="10A022B8">
      <w:start w:val="1"/>
      <w:numFmt w:val="bullet"/>
      <w:lvlText w:val="o"/>
      <w:lvlJc w:val="left"/>
      <w:pPr>
        <w:ind w:left="5760" w:hanging="360"/>
      </w:pPr>
      <w:rPr>
        <w:rFonts w:ascii="Courier New" w:hAnsi="Courier New" w:cs="Courier New" w:hint="default"/>
      </w:rPr>
    </w:lvl>
    <w:lvl w:ilvl="8" w:tplc="50262DBC">
      <w:start w:val="1"/>
      <w:numFmt w:val="bullet"/>
      <w:lvlText w:val=""/>
      <w:lvlJc w:val="left"/>
      <w:pPr>
        <w:ind w:left="6480" w:hanging="360"/>
      </w:pPr>
      <w:rPr>
        <w:rFonts w:ascii="Wingdings" w:hAnsi="Wingdings" w:hint="default"/>
      </w:rPr>
    </w:lvl>
  </w:abstractNum>
  <w:abstractNum w:abstractNumId="11"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D37A3D"/>
    <w:multiLevelType w:val="multilevel"/>
    <w:tmpl w:val="3D4018F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15D3F97"/>
    <w:multiLevelType w:val="hybridMultilevel"/>
    <w:tmpl w:val="415D3F97"/>
    <w:lvl w:ilvl="0" w:tplc="F5602E04">
      <w:start w:val="1"/>
      <w:numFmt w:val="bullet"/>
      <w:lvlText w:val=""/>
      <w:lvlJc w:val="left"/>
      <w:pPr>
        <w:ind w:left="360" w:hanging="360"/>
      </w:pPr>
      <w:rPr>
        <w:rFonts w:ascii="Symbol" w:hAnsi="Symbol" w:hint="default"/>
      </w:rPr>
    </w:lvl>
    <w:lvl w:ilvl="1" w:tplc="9BF456E4">
      <w:start w:val="1"/>
      <w:numFmt w:val="bullet"/>
      <w:lvlText w:val="o"/>
      <w:lvlJc w:val="left"/>
      <w:pPr>
        <w:ind w:left="1080" w:hanging="360"/>
      </w:pPr>
      <w:rPr>
        <w:rFonts w:ascii="Courier New" w:hAnsi="Courier New" w:cs="Courier New" w:hint="default"/>
      </w:rPr>
    </w:lvl>
    <w:lvl w:ilvl="2" w:tplc="FC6A1C46">
      <w:start w:val="1"/>
      <w:numFmt w:val="bullet"/>
      <w:lvlText w:val=""/>
      <w:lvlJc w:val="left"/>
      <w:pPr>
        <w:ind w:left="1800" w:hanging="360"/>
      </w:pPr>
      <w:rPr>
        <w:rFonts w:ascii="Wingdings" w:hAnsi="Wingdings" w:hint="default"/>
      </w:rPr>
    </w:lvl>
    <w:lvl w:ilvl="3" w:tplc="256ACA78">
      <w:start w:val="1"/>
      <w:numFmt w:val="bullet"/>
      <w:lvlText w:val=""/>
      <w:lvlJc w:val="left"/>
      <w:pPr>
        <w:ind w:left="2520" w:hanging="360"/>
      </w:pPr>
      <w:rPr>
        <w:rFonts w:ascii="Symbol" w:hAnsi="Symbol" w:hint="default"/>
      </w:rPr>
    </w:lvl>
    <w:lvl w:ilvl="4" w:tplc="EA0C577A">
      <w:start w:val="1"/>
      <w:numFmt w:val="bullet"/>
      <w:lvlText w:val="o"/>
      <w:lvlJc w:val="left"/>
      <w:pPr>
        <w:ind w:left="3240" w:hanging="360"/>
      </w:pPr>
      <w:rPr>
        <w:rFonts w:ascii="Courier New" w:hAnsi="Courier New" w:cs="Courier New" w:hint="default"/>
      </w:rPr>
    </w:lvl>
    <w:lvl w:ilvl="5" w:tplc="6B7014C4">
      <w:start w:val="1"/>
      <w:numFmt w:val="bullet"/>
      <w:lvlText w:val=""/>
      <w:lvlJc w:val="left"/>
      <w:pPr>
        <w:ind w:left="3960" w:hanging="360"/>
      </w:pPr>
      <w:rPr>
        <w:rFonts w:ascii="Wingdings" w:hAnsi="Wingdings" w:hint="default"/>
      </w:rPr>
    </w:lvl>
    <w:lvl w:ilvl="6" w:tplc="F63E3F1E">
      <w:start w:val="1"/>
      <w:numFmt w:val="bullet"/>
      <w:lvlText w:val=""/>
      <w:lvlJc w:val="left"/>
      <w:pPr>
        <w:ind w:left="4680" w:hanging="360"/>
      </w:pPr>
      <w:rPr>
        <w:rFonts w:ascii="Symbol" w:hAnsi="Symbol" w:hint="default"/>
      </w:rPr>
    </w:lvl>
    <w:lvl w:ilvl="7" w:tplc="C672B9FE">
      <w:start w:val="1"/>
      <w:numFmt w:val="bullet"/>
      <w:lvlText w:val="o"/>
      <w:lvlJc w:val="left"/>
      <w:pPr>
        <w:ind w:left="5400" w:hanging="360"/>
      </w:pPr>
      <w:rPr>
        <w:rFonts w:ascii="Courier New" w:hAnsi="Courier New" w:cs="Courier New" w:hint="default"/>
      </w:rPr>
    </w:lvl>
    <w:lvl w:ilvl="8" w:tplc="FC4A4028">
      <w:start w:val="1"/>
      <w:numFmt w:val="bullet"/>
      <w:lvlText w:val=""/>
      <w:lvlJc w:val="left"/>
      <w:pPr>
        <w:ind w:left="6120" w:hanging="360"/>
      </w:pPr>
      <w:rPr>
        <w:rFonts w:ascii="Wingdings" w:hAnsi="Wingdings" w:hint="default"/>
      </w:rPr>
    </w:lvl>
  </w:abstractNum>
  <w:abstractNum w:abstractNumId="14" w15:restartNumberingAfterBreak="0">
    <w:nsid w:val="47107DDB"/>
    <w:multiLevelType w:val="hybridMultilevel"/>
    <w:tmpl w:val="FEF6B4D4"/>
    <w:lvl w:ilvl="0" w:tplc="B38CAAD4">
      <w:start w:val="1"/>
      <w:numFmt w:val="bullet"/>
      <w:lvlText w:val=""/>
      <w:lvlJc w:val="left"/>
      <w:pPr>
        <w:tabs>
          <w:tab w:val="num" w:pos="720"/>
        </w:tabs>
        <w:ind w:left="720" w:hanging="360"/>
      </w:pPr>
      <w:rPr>
        <w:rFonts w:ascii="Symbol" w:hAnsi="Symbol" w:hint="default"/>
        <w:sz w:val="20"/>
      </w:rPr>
    </w:lvl>
    <w:lvl w:ilvl="1" w:tplc="360A76E8" w:tentative="1">
      <w:start w:val="1"/>
      <w:numFmt w:val="bullet"/>
      <w:lvlText w:val=""/>
      <w:lvlJc w:val="left"/>
      <w:pPr>
        <w:tabs>
          <w:tab w:val="num" w:pos="1440"/>
        </w:tabs>
        <w:ind w:left="1440" w:hanging="360"/>
      </w:pPr>
      <w:rPr>
        <w:rFonts w:ascii="Symbol" w:hAnsi="Symbol" w:hint="default"/>
        <w:sz w:val="20"/>
      </w:rPr>
    </w:lvl>
    <w:lvl w:ilvl="2" w:tplc="1AD48510" w:tentative="1">
      <w:start w:val="1"/>
      <w:numFmt w:val="bullet"/>
      <w:lvlText w:val=""/>
      <w:lvlJc w:val="left"/>
      <w:pPr>
        <w:tabs>
          <w:tab w:val="num" w:pos="2160"/>
        </w:tabs>
        <w:ind w:left="2160" w:hanging="360"/>
      </w:pPr>
      <w:rPr>
        <w:rFonts w:ascii="Symbol" w:hAnsi="Symbol" w:hint="default"/>
        <w:sz w:val="20"/>
      </w:rPr>
    </w:lvl>
    <w:lvl w:ilvl="3" w:tplc="4B94D73C" w:tentative="1">
      <w:start w:val="1"/>
      <w:numFmt w:val="bullet"/>
      <w:lvlText w:val=""/>
      <w:lvlJc w:val="left"/>
      <w:pPr>
        <w:tabs>
          <w:tab w:val="num" w:pos="2880"/>
        </w:tabs>
        <w:ind w:left="2880" w:hanging="360"/>
      </w:pPr>
      <w:rPr>
        <w:rFonts w:ascii="Symbol" w:hAnsi="Symbol" w:hint="default"/>
        <w:sz w:val="20"/>
      </w:rPr>
    </w:lvl>
    <w:lvl w:ilvl="4" w:tplc="9F68081A" w:tentative="1">
      <w:start w:val="1"/>
      <w:numFmt w:val="bullet"/>
      <w:lvlText w:val=""/>
      <w:lvlJc w:val="left"/>
      <w:pPr>
        <w:tabs>
          <w:tab w:val="num" w:pos="3600"/>
        </w:tabs>
        <w:ind w:left="3600" w:hanging="360"/>
      </w:pPr>
      <w:rPr>
        <w:rFonts w:ascii="Symbol" w:hAnsi="Symbol" w:hint="default"/>
        <w:sz w:val="20"/>
      </w:rPr>
    </w:lvl>
    <w:lvl w:ilvl="5" w:tplc="3D6E02C2" w:tentative="1">
      <w:start w:val="1"/>
      <w:numFmt w:val="bullet"/>
      <w:lvlText w:val=""/>
      <w:lvlJc w:val="left"/>
      <w:pPr>
        <w:tabs>
          <w:tab w:val="num" w:pos="4320"/>
        </w:tabs>
        <w:ind w:left="4320" w:hanging="360"/>
      </w:pPr>
      <w:rPr>
        <w:rFonts w:ascii="Symbol" w:hAnsi="Symbol" w:hint="default"/>
        <w:sz w:val="20"/>
      </w:rPr>
    </w:lvl>
    <w:lvl w:ilvl="6" w:tplc="1194DD0E" w:tentative="1">
      <w:start w:val="1"/>
      <w:numFmt w:val="bullet"/>
      <w:lvlText w:val=""/>
      <w:lvlJc w:val="left"/>
      <w:pPr>
        <w:tabs>
          <w:tab w:val="num" w:pos="5040"/>
        </w:tabs>
        <w:ind w:left="5040" w:hanging="360"/>
      </w:pPr>
      <w:rPr>
        <w:rFonts w:ascii="Symbol" w:hAnsi="Symbol" w:hint="default"/>
        <w:sz w:val="20"/>
      </w:rPr>
    </w:lvl>
    <w:lvl w:ilvl="7" w:tplc="ED903656" w:tentative="1">
      <w:start w:val="1"/>
      <w:numFmt w:val="bullet"/>
      <w:lvlText w:val=""/>
      <w:lvlJc w:val="left"/>
      <w:pPr>
        <w:tabs>
          <w:tab w:val="num" w:pos="5760"/>
        </w:tabs>
        <w:ind w:left="5760" w:hanging="360"/>
      </w:pPr>
      <w:rPr>
        <w:rFonts w:ascii="Symbol" w:hAnsi="Symbol" w:hint="default"/>
        <w:sz w:val="20"/>
      </w:rPr>
    </w:lvl>
    <w:lvl w:ilvl="8" w:tplc="CB283CC0"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770EBB"/>
    <w:multiLevelType w:val="hybridMultilevel"/>
    <w:tmpl w:val="4A770EBB"/>
    <w:lvl w:ilvl="0" w:tplc="42CE2410">
      <w:start w:val="1"/>
      <w:numFmt w:val="decimal"/>
      <w:lvlText w:val="%1)"/>
      <w:lvlJc w:val="left"/>
      <w:pPr>
        <w:ind w:left="360" w:hanging="360"/>
      </w:pPr>
      <w:rPr>
        <w:rFonts w:hint="default"/>
      </w:rPr>
    </w:lvl>
    <w:lvl w:ilvl="1" w:tplc="FD5E8432">
      <w:start w:val="1"/>
      <w:numFmt w:val="lowerLetter"/>
      <w:lvlText w:val="%2)"/>
      <w:lvlJc w:val="left"/>
      <w:pPr>
        <w:ind w:left="840" w:hanging="420"/>
      </w:pPr>
    </w:lvl>
    <w:lvl w:ilvl="2" w:tplc="03E49442">
      <w:start w:val="1"/>
      <w:numFmt w:val="lowerRoman"/>
      <w:lvlText w:val="%3."/>
      <w:lvlJc w:val="right"/>
      <w:pPr>
        <w:ind w:left="1260" w:hanging="420"/>
      </w:pPr>
    </w:lvl>
    <w:lvl w:ilvl="3" w:tplc="2AFC65BE">
      <w:start w:val="1"/>
      <w:numFmt w:val="decimal"/>
      <w:lvlText w:val="%4."/>
      <w:lvlJc w:val="left"/>
      <w:pPr>
        <w:ind w:left="1680" w:hanging="420"/>
      </w:pPr>
    </w:lvl>
    <w:lvl w:ilvl="4" w:tplc="C47427C6">
      <w:start w:val="1"/>
      <w:numFmt w:val="lowerLetter"/>
      <w:lvlText w:val="%5)"/>
      <w:lvlJc w:val="left"/>
      <w:pPr>
        <w:ind w:left="2100" w:hanging="420"/>
      </w:pPr>
    </w:lvl>
    <w:lvl w:ilvl="5" w:tplc="2F52AC3A">
      <w:start w:val="1"/>
      <w:numFmt w:val="lowerRoman"/>
      <w:lvlText w:val="%6."/>
      <w:lvlJc w:val="right"/>
      <w:pPr>
        <w:ind w:left="2520" w:hanging="420"/>
      </w:pPr>
    </w:lvl>
    <w:lvl w:ilvl="6" w:tplc="D81C5970">
      <w:start w:val="1"/>
      <w:numFmt w:val="decimal"/>
      <w:lvlText w:val="%7."/>
      <w:lvlJc w:val="left"/>
      <w:pPr>
        <w:ind w:left="2940" w:hanging="420"/>
      </w:pPr>
    </w:lvl>
    <w:lvl w:ilvl="7" w:tplc="92404A2A">
      <w:start w:val="1"/>
      <w:numFmt w:val="lowerLetter"/>
      <w:lvlText w:val="%8)"/>
      <w:lvlJc w:val="left"/>
      <w:pPr>
        <w:ind w:left="3360" w:hanging="420"/>
      </w:pPr>
    </w:lvl>
    <w:lvl w:ilvl="8" w:tplc="AC0AAE72">
      <w:start w:val="1"/>
      <w:numFmt w:val="lowerRoman"/>
      <w:lvlText w:val="%9."/>
      <w:lvlJc w:val="right"/>
      <w:pPr>
        <w:ind w:left="3780" w:hanging="420"/>
      </w:pPr>
    </w:lvl>
  </w:abstractNum>
  <w:abstractNum w:abstractNumId="16"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21B167C"/>
    <w:multiLevelType w:val="hybridMultilevel"/>
    <w:tmpl w:val="84D69866"/>
    <w:lvl w:ilvl="0" w:tplc="53AEAB5A">
      <w:start w:val="1"/>
      <w:numFmt w:val="bullet"/>
      <w:lvlText w:val=""/>
      <w:lvlJc w:val="left"/>
      <w:pPr>
        <w:tabs>
          <w:tab w:val="num" w:pos="720"/>
        </w:tabs>
        <w:ind w:left="720" w:hanging="360"/>
      </w:pPr>
      <w:rPr>
        <w:rFonts w:ascii="Symbol" w:hAnsi="Symbol" w:hint="default"/>
        <w:sz w:val="20"/>
      </w:rPr>
    </w:lvl>
    <w:lvl w:ilvl="1" w:tplc="169845A0" w:tentative="1">
      <w:start w:val="1"/>
      <w:numFmt w:val="bullet"/>
      <w:lvlText w:val=""/>
      <w:lvlJc w:val="left"/>
      <w:pPr>
        <w:tabs>
          <w:tab w:val="num" w:pos="1440"/>
        </w:tabs>
        <w:ind w:left="1440" w:hanging="360"/>
      </w:pPr>
      <w:rPr>
        <w:rFonts w:ascii="Symbol" w:hAnsi="Symbol" w:hint="default"/>
        <w:sz w:val="20"/>
      </w:rPr>
    </w:lvl>
    <w:lvl w:ilvl="2" w:tplc="770A60CC" w:tentative="1">
      <w:start w:val="1"/>
      <w:numFmt w:val="bullet"/>
      <w:lvlText w:val=""/>
      <w:lvlJc w:val="left"/>
      <w:pPr>
        <w:tabs>
          <w:tab w:val="num" w:pos="2160"/>
        </w:tabs>
        <w:ind w:left="2160" w:hanging="360"/>
      </w:pPr>
      <w:rPr>
        <w:rFonts w:ascii="Symbol" w:hAnsi="Symbol" w:hint="default"/>
        <w:sz w:val="20"/>
      </w:rPr>
    </w:lvl>
    <w:lvl w:ilvl="3" w:tplc="F99C9A12" w:tentative="1">
      <w:start w:val="1"/>
      <w:numFmt w:val="bullet"/>
      <w:lvlText w:val=""/>
      <w:lvlJc w:val="left"/>
      <w:pPr>
        <w:tabs>
          <w:tab w:val="num" w:pos="2880"/>
        </w:tabs>
        <w:ind w:left="2880" w:hanging="360"/>
      </w:pPr>
      <w:rPr>
        <w:rFonts w:ascii="Symbol" w:hAnsi="Symbol" w:hint="default"/>
        <w:sz w:val="20"/>
      </w:rPr>
    </w:lvl>
    <w:lvl w:ilvl="4" w:tplc="0BDC64D0" w:tentative="1">
      <w:start w:val="1"/>
      <w:numFmt w:val="bullet"/>
      <w:lvlText w:val=""/>
      <w:lvlJc w:val="left"/>
      <w:pPr>
        <w:tabs>
          <w:tab w:val="num" w:pos="3600"/>
        </w:tabs>
        <w:ind w:left="3600" w:hanging="360"/>
      </w:pPr>
      <w:rPr>
        <w:rFonts w:ascii="Symbol" w:hAnsi="Symbol" w:hint="default"/>
        <w:sz w:val="20"/>
      </w:rPr>
    </w:lvl>
    <w:lvl w:ilvl="5" w:tplc="E2B8275A" w:tentative="1">
      <w:start w:val="1"/>
      <w:numFmt w:val="bullet"/>
      <w:lvlText w:val=""/>
      <w:lvlJc w:val="left"/>
      <w:pPr>
        <w:tabs>
          <w:tab w:val="num" w:pos="4320"/>
        </w:tabs>
        <w:ind w:left="4320" w:hanging="360"/>
      </w:pPr>
      <w:rPr>
        <w:rFonts w:ascii="Symbol" w:hAnsi="Symbol" w:hint="default"/>
        <w:sz w:val="20"/>
      </w:rPr>
    </w:lvl>
    <w:lvl w:ilvl="6" w:tplc="2B34C118" w:tentative="1">
      <w:start w:val="1"/>
      <w:numFmt w:val="bullet"/>
      <w:lvlText w:val=""/>
      <w:lvlJc w:val="left"/>
      <w:pPr>
        <w:tabs>
          <w:tab w:val="num" w:pos="5040"/>
        </w:tabs>
        <w:ind w:left="5040" w:hanging="360"/>
      </w:pPr>
      <w:rPr>
        <w:rFonts w:ascii="Symbol" w:hAnsi="Symbol" w:hint="default"/>
        <w:sz w:val="20"/>
      </w:rPr>
    </w:lvl>
    <w:lvl w:ilvl="7" w:tplc="48623CC2" w:tentative="1">
      <w:start w:val="1"/>
      <w:numFmt w:val="bullet"/>
      <w:lvlText w:val=""/>
      <w:lvlJc w:val="left"/>
      <w:pPr>
        <w:tabs>
          <w:tab w:val="num" w:pos="5760"/>
        </w:tabs>
        <w:ind w:left="5760" w:hanging="360"/>
      </w:pPr>
      <w:rPr>
        <w:rFonts w:ascii="Symbol" w:hAnsi="Symbol" w:hint="default"/>
        <w:sz w:val="20"/>
      </w:rPr>
    </w:lvl>
    <w:lvl w:ilvl="8" w:tplc="718A28FE"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EDF6DBD"/>
    <w:multiLevelType w:val="hybridMultilevel"/>
    <w:tmpl w:val="5EDF6DBD"/>
    <w:lvl w:ilvl="0" w:tplc="A0460FEA">
      <w:start w:val="4"/>
      <w:numFmt w:val="bullet"/>
      <w:lvlText w:val="-"/>
      <w:lvlJc w:val="left"/>
      <w:pPr>
        <w:ind w:left="720" w:hanging="360"/>
      </w:pPr>
      <w:rPr>
        <w:rFonts w:ascii="Times New Roman" w:eastAsia="Times New Roman" w:hAnsi="Times New Roman" w:cs="Times New Roman" w:hint="default"/>
      </w:rPr>
    </w:lvl>
    <w:lvl w:ilvl="1" w:tplc="E7D68F60">
      <w:start w:val="1"/>
      <w:numFmt w:val="bullet"/>
      <w:lvlText w:val="o"/>
      <w:lvlJc w:val="left"/>
      <w:pPr>
        <w:ind w:left="1440" w:hanging="360"/>
      </w:pPr>
      <w:rPr>
        <w:rFonts w:ascii="Courier New" w:hAnsi="Courier New" w:cs="Courier New" w:hint="default"/>
      </w:rPr>
    </w:lvl>
    <w:lvl w:ilvl="2" w:tplc="EE38773A">
      <w:start w:val="1"/>
      <w:numFmt w:val="bullet"/>
      <w:lvlText w:val=""/>
      <w:lvlJc w:val="left"/>
      <w:pPr>
        <w:ind w:left="2160" w:hanging="360"/>
      </w:pPr>
      <w:rPr>
        <w:rFonts w:ascii="Wingdings" w:hAnsi="Wingdings" w:hint="default"/>
      </w:rPr>
    </w:lvl>
    <w:lvl w:ilvl="3" w:tplc="8E4ED1B4">
      <w:start w:val="1"/>
      <w:numFmt w:val="bullet"/>
      <w:lvlText w:val=""/>
      <w:lvlJc w:val="left"/>
      <w:pPr>
        <w:ind w:left="2880" w:hanging="360"/>
      </w:pPr>
      <w:rPr>
        <w:rFonts w:ascii="Symbol" w:hAnsi="Symbol" w:hint="default"/>
      </w:rPr>
    </w:lvl>
    <w:lvl w:ilvl="4" w:tplc="780E1A38">
      <w:start w:val="1"/>
      <w:numFmt w:val="bullet"/>
      <w:lvlText w:val="o"/>
      <w:lvlJc w:val="left"/>
      <w:pPr>
        <w:ind w:left="3600" w:hanging="360"/>
      </w:pPr>
      <w:rPr>
        <w:rFonts w:ascii="Courier New" w:hAnsi="Courier New" w:cs="Courier New" w:hint="default"/>
      </w:rPr>
    </w:lvl>
    <w:lvl w:ilvl="5" w:tplc="369EC1C2">
      <w:start w:val="1"/>
      <w:numFmt w:val="bullet"/>
      <w:lvlText w:val=""/>
      <w:lvlJc w:val="left"/>
      <w:pPr>
        <w:ind w:left="4320" w:hanging="360"/>
      </w:pPr>
      <w:rPr>
        <w:rFonts w:ascii="Wingdings" w:hAnsi="Wingdings" w:hint="default"/>
      </w:rPr>
    </w:lvl>
    <w:lvl w:ilvl="6" w:tplc="EB68977E">
      <w:start w:val="1"/>
      <w:numFmt w:val="bullet"/>
      <w:lvlText w:val=""/>
      <w:lvlJc w:val="left"/>
      <w:pPr>
        <w:ind w:left="5040" w:hanging="360"/>
      </w:pPr>
      <w:rPr>
        <w:rFonts w:ascii="Symbol" w:hAnsi="Symbol" w:hint="default"/>
      </w:rPr>
    </w:lvl>
    <w:lvl w:ilvl="7" w:tplc="48C891B4">
      <w:start w:val="1"/>
      <w:numFmt w:val="bullet"/>
      <w:lvlText w:val="o"/>
      <w:lvlJc w:val="left"/>
      <w:pPr>
        <w:ind w:left="5760" w:hanging="360"/>
      </w:pPr>
      <w:rPr>
        <w:rFonts w:ascii="Courier New" w:hAnsi="Courier New" w:cs="Courier New" w:hint="default"/>
      </w:rPr>
    </w:lvl>
    <w:lvl w:ilvl="8" w:tplc="3BCC5A70">
      <w:start w:val="1"/>
      <w:numFmt w:val="bullet"/>
      <w:lvlText w:val=""/>
      <w:lvlJc w:val="left"/>
      <w:pPr>
        <w:ind w:left="6480" w:hanging="360"/>
      </w:pPr>
      <w:rPr>
        <w:rFonts w:ascii="Wingdings" w:hAnsi="Wingdings" w:hint="default"/>
      </w:rPr>
    </w:lvl>
  </w:abstractNum>
  <w:abstractNum w:abstractNumId="19" w15:restartNumberingAfterBreak="0">
    <w:nsid w:val="62174690"/>
    <w:multiLevelType w:val="hybridMultilevel"/>
    <w:tmpl w:val="9134215C"/>
    <w:lvl w:ilvl="0" w:tplc="08090001">
      <w:start w:val="1"/>
      <w:numFmt w:val="bullet"/>
      <w:lvlText w:val=""/>
      <w:lvlJc w:val="left"/>
      <w:pPr>
        <w:ind w:left="826" w:hanging="360"/>
      </w:pPr>
      <w:rPr>
        <w:rFonts w:ascii="Symbol" w:hAnsi="Symbol" w:hint="default"/>
      </w:rPr>
    </w:lvl>
    <w:lvl w:ilvl="1" w:tplc="08090003" w:tentative="1">
      <w:start w:val="1"/>
      <w:numFmt w:val="bullet"/>
      <w:lvlText w:val="o"/>
      <w:lvlJc w:val="left"/>
      <w:pPr>
        <w:ind w:left="1546" w:hanging="360"/>
      </w:pPr>
      <w:rPr>
        <w:rFonts w:ascii="Courier New" w:hAnsi="Courier New" w:cs="Courier New" w:hint="default"/>
      </w:rPr>
    </w:lvl>
    <w:lvl w:ilvl="2" w:tplc="08090005" w:tentative="1">
      <w:start w:val="1"/>
      <w:numFmt w:val="bullet"/>
      <w:lvlText w:val=""/>
      <w:lvlJc w:val="left"/>
      <w:pPr>
        <w:ind w:left="2266" w:hanging="360"/>
      </w:pPr>
      <w:rPr>
        <w:rFonts w:ascii="Wingdings" w:hAnsi="Wingdings" w:hint="default"/>
      </w:rPr>
    </w:lvl>
    <w:lvl w:ilvl="3" w:tplc="08090001" w:tentative="1">
      <w:start w:val="1"/>
      <w:numFmt w:val="bullet"/>
      <w:lvlText w:val=""/>
      <w:lvlJc w:val="left"/>
      <w:pPr>
        <w:ind w:left="2986" w:hanging="360"/>
      </w:pPr>
      <w:rPr>
        <w:rFonts w:ascii="Symbol" w:hAnsi="Symbol" w:hint="default"/>
      </w:rPr>
    </w:lvl>
    <w:lvl w:ilvl="4" w:tplc="08090003" w:tentative="1">
      <w:start w:val="1"/>
      <w:numFmt w:val="bullet"/>
      <w:lvlText w:val="o"/>
      <w:lvlJc w:val="left"/>
      <w:pPr>
        <w:ind w:left="3706" w:hanging="360"/>
      </w:pPr>
      <w:rPr>
        <w:rFonts w:ascii="Courier New" w:hAnsi="Courier New" w:cs="Courier New" w:hint="default"/>
      </w:rPr>
    </w:lvl>
    <w:lvl w:ilvl="5" w:tplc="08090005" w:tentative="1">
      <w:start w:val="1"/>
      <w:numFmt w:val="bullet"/>
      <w:lvlText w:val=""/>
      <w:lvlJc w:val="left"/>
      <w:pPr>
        <w:ind w:left="4426" w:hanging="360"/>
      </w:pPr>
      <w:rPr>
        <w:rFonts w:ascii="Wingdings" w:hAnsi="Wingdings" w:hint="default"/>
      </w:rPr>
    </w:lvl>
    <w:lvl w:ilvl="6" w:tplc="08090001" w:tentative="1">
      <w:start w:val="1"/>
      <w:numFmt w:val="bullet"/>
      <w:lvlText w:val=""/>
      <w:lvlJc w:val="left"/>
      <w:pPr>
        <w:ind w:left="5146" w:hanging="360"/>
      </w:pPr>
      <w:rPr>
        <w:rFonts w:ascii="Symbol" w:hAnsi="Symbol" w:hint="default"/>
      </w:rPr>
    </w:lvl>
    <w:lvl w:ilvl="7" w:tplc="08090003" w:tentative="1">
      <w:start w:val="1"/>
      <w:numFmt w:val="bullet"/>
      <w:lvlText w:val="o"/>
      <w:lvlJc w:val="left"/>
      <w:pPr>
        <w:ind w:left="5866" w:hanging="360"/>
      </w:pPr>
      <w:rPr>
        <w:rFonts w:ascii="Courier New" w:hAnsi="Courier New" w:cs="Courier New" w:hint="default"/>
      </w:rPr>
    </w:lvl>
    <w:lvl w:ilvl="8" w:tplc="08090005" w:tentative="1">
      <w:start w:val="1"/>
      <w:numFmt w:val="bullet"/>
      <w:lvlText w:val=""/>
      <w:lvlJc w:val="left"/>
      <w:pPr>
        <w:ind w:left="6586" w:hanging="360"/>
      </w:pPr>
      <w:rPr>
        <w:rFonts w:ascii="Wingdings" w:hAnsi="Wingdings" w:hint="default"/>
      </w:rPr>
    </w:lvl>
  </w:abstractNum>
  <w:abstractNum w:abstractNumId="20" w15:restartNumberingAfterBreak="0">
    <w:nsid w:val="62E53D44"/>
    <w:multiLevelType w:val="hybridMultilevel"/>
    <w:tmpl w:val="186658C0"/>
    <w:lvl w:ilvl="0" w:tplc="E0A4B174">
      <w:start w:val="1"/>
      <w:numFmt w:val="bullet"/>
      <w:lvlText w:val=""/>
      <w:lvlJc w:val="left"/>
      <w:pPr>
        <w:tabs>
          <w:tab w:val="num" w:pos="720"/>
        </w:tabs>
        <w:ind w:left="720" w:hanging="360"/>
      </w:pPr>
      <w:rPr>
        <w:rFonts w:ascii="Symbol" w:hAnsi="Symbol" w:hint="default"/>
        <w:sz w:val="20"/>
      </w:rPr>
    </w:lvl>
    <w:lvl w:ilvl="1" w:tplc="4476C126" w:tentative="1">
      <w:start w:val="1"/>
      <w:numFmt w:val="bullet"/>
      <w:lvlText w:val=""/>
      <w:lvlJc w:val="left"/>
      <w:pPr>
        <w:tabs>
          <w:tab w:val="num" w:pos="1440"/>
        </w:tabs>
        <w:ind w:left="1440" w:hanging="360"/>
      </w:pPr>
      <w:rPr>
        <w:rFonts w:ascii="Symbol" w:hAnsi="Symbol" w:hint="default"/>
        <w:sz w:val="20"/>
      </w:rPr>
    </w:lvl>
    <w:lvl w:ilvl="2" w:tplc="66F2E704" w:tentative="1">
      <w:start w:val="1"/>
      <w:numFmt w:val="bullet"/>
      <w:lvlText w:val=""/>
      <w:lvlJc w:val="left"/>
      <w:pPr>
        <w:tabs>
          <w:tab w:val="num" w:pos="2160"/>
        </w:tabs>
        <w:ind w:left="2160" w:hanging="360"/>
      </w:pPr>
      <w:rPr>
        <w:rFonts w:ascii="Symbol" w:hAnsi="Symbol" w:hint="default"/>
        <w:sz w:val="20"/>
      </w:rPr>
    </w:lvl>
    <w:lvl w:ilvl="3" w:tplc="3DC6529A" w:tentative="1">
      <w:start w:val="1"/>
      <w:numFmt w:val="bullet"/>
      <w:lvlText w:val=""/>
      <w:lvlJc w:val="left"/>
      <w:pPr>
        <w:tabs>
          <w:tab w:val="num" w:pos="2880"/>
        </w:tabs>
        <w:ind w:left="2880" w:hanging="360"/>
      </w:pPr>
      <w:rPr>
        <w:rFonts w:ascii="Symbol" w:hAnsi="Symbol" w:hint="default"/>
        <w:sz w:val="20"/>
      </w:rPr>
    </w:lvl>
    <w:lvl w:ilvl="4" w:tplc="48A8B81A" w:tentative="1">
      <w:start w:val="1"/>
      <w:numFmt w:val="bullet"/>
      <w:lvlText w:val=""/>
      <w:lvlJc w:val="left"/>
      <w:pPr>
        <w:tabs>
          <w:tab w:val="num" w:pos="3600"/>
        </w:tabs>
        <w:ind w:left="3600" w:hanging="360"/>
      </w:pPr>
      <w:rPr>
        <w:rFonts w:ascii="Symbol" w:hAnsi="Symbol" w:hint="default"/>
        <w:sz w:val="20"/>
      </w:rPr>
    </w:lvl>
    <w:lvl w:ilvl="5" w:tplc="5CEEA5CA" w:tentative="1">
      <w:start w:val="1"/>
      <w:numFmt w:val="bullet"/>
      <w:lvlText w:val=""/>
      <w:lvlJc w:val="left"/>
      <w:pPr>
        <w:tabs>
          <w:tab w:val="num" w:pos="4320"/>
        </w:tabs>
        <w:ind w:left="4320" w:hanging="360"/>
      </w:pPr>
      <w:rPr>
        <w:rFonts w:ascii="Symbol" w:hAnsi="Symbol" w:hint="default"/>
        <w:sz w:val="20"/>
      </w:rPr>
    </w:lvl>
    <w:lvl w:ilvl="6" w:tplc="BB7CF328" w:tentative="1">
      <w:start w:val="1"/>
      <w:numFmt w:val="bullet"/>
      <w:lvlText w:val=""/>
      <w:lvlJc w:val="left"/>
      <w:pPr>
        <w:tabs>
          <w:tab w:val="num" w:pos="5040"/>
        </w:tabs>
        <w:ind w:left="5040" w:hanging="360"/>
      </w:pPr>
      <w:rPr>
        <w:rFonts w:ascii="Symbol" w:hAnsi="Symbol" w:hint="default"/>
        <w:sz w:val="20"/>
      </w:rPr>
    </w:lvl>
    <w:lvl w:ilvl="7" w:tplc="D6FAC886" w:tentative="1">
      <w:start w:val="1"/>
      <w:numFmt w:val="bullet"/>
      <w:lvlText w:val=""/>
      <w:lvlJc w:val="left"/>
      <w:pPr>
        <w:tabs>
          <w:tab w:val="num" w:pos="5760"/>
        </w:tabs>
        <w:ind w:left="5760" w:hanging="360"/>
      </w:pPr>
      <w:rPr>
        <w:rFonts w:ascii="Symbol" w:hAnsi="Symbol" w:hint="default"/>
        <w:sz w:val="20"/>
      </w:rPr>
    </w:lvl>
    <w:lvl w:ilvl="8" w:tplc="42F2A6A2"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E754FD"/>
    <w:multiLevelType w:val="multilevel"/>
    <w:tmpl w:val="56428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241B39"/>
    <w:multiLevelType w:val="hybridMultilevel"/>
    <w:tmpl w:val="FCBC4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7659F5"/>
    <w:multiLevelType w:val="hybridMultilevel"/>
    <w:tmpl w:val="476420CE"/>
    <w:lvl w:ilvl="0" w:tplc="5CE89088">
      <w:start w:val="2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12"/>
  </w:num>
  <w:num w:numId="2">
    <w:abstractNumId w:val="10"/>
  </w:num>
  <w:num w:numId="3">
    <w:abstractNumId w:val="5"/>
  </w:num>
  <w:num w:numId="4">
    <w:abstractNumId w:val="18"/>
  </w:num>
  <w:num w:numId="5">
    <w:abstractNumId w:val="15"/>
  </w:num>
  <w:num w:numId="6">
    <w:abstractNumId w:val="2"/>
  </w:num>
  <w:num w:numId="7">
    <w:abstractNumId w:val="11"/>
  </w:num>
  <w:num w:numId="8">
    <w:abstractNumId w:val="23"/>
  </w:num>
  <w:num w:numId="9">
    <w:abstractNumId w:val="22"/>
  </w:num>
  <w:num w:numId="10">
    <w:abstractNumId w:val="4"/>
  </w:num>
  <w:num w:numId="11">
    <w:abstractNumId w:val="24"/>
  </w:num>
  <w:num w:numId="12">
    <w:abstractNumId w:val="16"/>
  </w:num>
  <w:num w:numId="13">
    <w:abstractNumId w:val="29"/>
  </w:num>
  <w:num w:numId="14">
    <w:abstractNumId w:val="9"/>
  </w:num>
  <w:num w:numId="15">
    <w:abstractNumId w:val="13"/>
  </w:num>
  <w:num w:numId="16">
    <w:abstractNumId w:val="19"/>
  </w:num>
  <w:num w:numId="17">
    <w:abstractNumId w:val="27"/>
  </w:num>
  <w:num w:numId="18">
    <w:abstractNumId w:val="25"/>
  </w:num>
  <w:num w:numId="19">
    <w:abstractNumId w:val="7"/>
  </w:num>
  <w:num w:numId="20">
    <w:abstractNumId w:val="6"/>
  </w:num>
  <w:num w:numId="21">
    <w:abstractNumId w:val="21"/>
  </w:num>
  <w:num w:numId="22">
    <w:abstractNumId w:val="3"/>
  </w:num>
  <w:num w:numId="23">
    <w:abstractNumId w:val="28"/>
  </w:num>
  <w:num w:numId="24">
    <w:abstractNumId w:val="0"/>
  </w:num>
  <w:num w:numId="25">
    <w:abstractNumId w:val="1"/>
  </w:num>
  <w:num w:numId="26">
    <w:abstractNumId w:val="14"/>
  </w:num>
  <w:num w:numId="27">
    <w:abstractNumId w:val="20"/>
  </w:num>
  <w:num w:numId="28">
    <w:abstractNumId w:val="8"/>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tbSwNLc0NzI2MDBT0lEKTi0uzszPAymwqAUAljmrwCwAAAA="/>
  </w:docVars>
  <w:rsids>
    <w:rsidRoot w:val="00282213"/>
    <w:rsid w:val="00000265"/>
    <w:rsid w:val="00004165"/>
    <w:rsid w:val="000138AE"/>
    <w:rsid w:val="00017670"/>
    <w:rsid w:val="00020C56"/>
    <w:rsid w:val="00026ACC"/>
    <w:rsid w:val="0003171D"/>
    <w:rsid w:val="00031C1D"/>
    <w:rsid w:val="00032E8C"/>
    <w:rsid w:val="00035C50"/>
    <w:rsid w:val="00040144"/>
    <w:rsid w:val="00044AB6"/>
    <w:rsid w:val="00044F9B"/>
    <w:rsid w:val="000457A1"/>
    <w:rsid w:val="00050001"/>
    <w:rsid w:val="00052041"/>
    <w:rsid w:val="0005326A"/>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40A6"/>
    <w:rsid w:val="00107927"/>
    <w:rsid w:val="00110E26"/>
    <w:rsid w:val="00111321"/>
    <w:rsid w:val="001131FD"/>
    <w:rsid w:val="001137E9"/>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E68"/>
    <w:rsid w:val="0016172A"/>
    <w:rsid w:val="00161BE7"/>
    <w:rsid w:val="00162548"/>
    <w:rsid w:val="00164CE9"/>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1409"/>
    <w:rsid w:val="001C2AE6"/>
    <w:rsid w:val="001C2F96"/>
    <w:rsid w:val="001C3F25"/>
    <w:rsid w:val="001C4A89"/>
    <w:rsid w:val="001C6177"/>
    <w:rsid w:val="001D0363"/>
    <w:rsid w:val="001D3558"/>
    <w:rsid w:val="001D3CEC"/>
    <w:rsid w:val="001D7D94"/>
    <w:rsid w:val="001E01EC"/>
    <w:rsid w:val="001E0A28"/>
    <w:rsid w:val="001E10B3"/>
    <w:rsid w:val="001E365C"/>
    <w:rsid w:val="001E4218"/>
    <w:rsid w:val="001E4444"/>
    <w:rsid w:val="001F0B20"/>
    <w:rsid w:val="00200A62"/>
    <w:rsid w:val="00203740"/>
    <w:rsid w:val="002138EA"/>
    <w:rsid w:val="00213F84"/>
    <w:rsid w:val="00214FBD"/>
    <w:rsid w:val="0021628A"/>
    <w:rsid w:val="002225DD"/>
    <w:rsid w:val="00222897"/>
    <w:rsid w:val="00222B0C"/>
    <w:rsid w:val="00223F1B"/>
    <w:rsid w:val="00235394"/>
    <w:rsid w:val="00235577"/>
    <w:rsid w:val="00240704"/>
    <w:rsid w:val="002435CA"/>
    <w:rsid w:val="0024469F"/>
    <w:rsid w:val="00246109"/>
    <w:rsid w:val="00252DB8"/>
    <w:rsid w:val="002537BC"/>
    <w:rsid w:val="002539AF"/>
    <w:rsid w:val="00255C58"/>
    <w:rsid w:val="00256E91"/>
    <w:rsid w:val="00260EC7"/>
    <w:rsid w:val="00261539"/>
    <w:rsid w:val="0026179F"/>
    <w:rsid w:val="00264984"/>
    <w:rsid w:val="002656C8"/>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DA6"/>
    <w:rsid w:val="002B0D9E"/>
    <w:rsid w:val="002B516C"/>
    <w:rsid w:val="002B5C6E"/>
    <w:rsid w:val="002B5D6C"/>
    <w:rsid w:val="002B5E1D"/>
    <w:rsid w:val="002B60C1"/>
    <w:rsid w:val="002B75A4"/>
    <w:rsid w:val="002C0040"/>
    <w:rsid w:val="002C0D0A"/>
    <w:rsid w:val="002C23F3"/>
    <w:rsid w:val="002C4B52"/>
    <w:rsid w:val="002C7840"/>
    <w:rsid w:val="002D03E5"/>
    <w:rsid w:val="002D36EB"/>
    <w:rsid w:val="002D6BDF"/>
    <w:rsid w:val="002D6EDD"/>
    <w:rsid w:val="002E2CE9"/>
    <w:rsid w:val="002E3BF7"/>
    <w:rsid w:val="002E403E"/>
    <w:rsid w:val="002F158C"/>
    <w:rsid w:val="002F2C22"/>
    <w:rsid w:val="002F4093"/>
    <w:rsid w:val="002F5636"/>
    <w:rsid w:val="002F6092"/>
    <w:rsid w:val="002F65CB"/>
    <w:rsid w:val="002F73BD"/>
    <w:rsid w:val="002F7647"/>
    <w:rsid w:val="003022A5"/>
    <w:rsid w:val="003023E8"/>
    <w:rsid w:val="00307E51"/>
    <w:rsid w:val="00311363"/>
    <w:rsid w:val="00312C81"/>
    <w:rsid w:val="00315867"/>
    <w:rsid w:val="00316348"/>
    <w:rsid w:val="00321150"/>
    <w:rsid w:val="003228A6"/>
    <w:rsid w:val="00322CE8"/>
    <w:rsid w:val="003260D7"/>
    <w:rsid w:val="00326425"/>
    <w:rsid w:val="0033537D"/>
    <w:rsid w:val="00336697"/>
    <w:rsid w:val="003418CB"/>
    <w:rsid w:val="00344713"/>
    <w:rsid w:val="0035138F"/>
    <w:rsid w:val="00355873"/>
    <w:rsid w:val="0035660F"/>
    <w:rsid w:val="00361FD5"/>
    <w:rsid w:val="0036271B"/>
    <w:rsid w:val="003628B9"/>
    <w:rsid w:val="00362D8F"/>
    <w:rsid w:val="003640C7"/>
    <w:rsid w:val="003655BC"/>
    <w:rsid w:val="00367724"/>
    <w:rsid w:val="00367DAE"/>
    <w:rsid w:val="003736AF"/>
    <w:rsid w:val="003770F6"/>
    <w:rsid w:val="003801A0"/>
    <w:rsid w:val="003819D4"/>
    <w:rsid w:val="00382106"/>
    <w:rsid w:val="00383E37"/>
    <w:rsid w:val="00387E66"/>
    <w:rsid w:val="00393042"/>
    <w:rsid w:val="003935F0"/>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6DBA"/>
    <w:rsid w:val="003D7719"/>
    <w:rsid w:val="003E0529"/>
    <w:rsid w:val="003E0C9D"/>
    <w:rsid w:val="003E2003"/>
    <w:rsid w:val="003E3D01"/>
    <w:rsid w:val="003E3E38"/>
    <w:rsid w:val="003E40EE"/>
    <w:rsid w:val="003E501E"/>
    <w:rsid w:val="003E7AB0"/>
    <w:rsid w:val="003E7C04"/>
    <w:rsid w:val="003F1C1B"/>
    <w:rsid w:val="003F4D01"/>
    <w:rsid w:val="003F5CE7"/>
    <w:rsid w:val="00401144"/>
    <w:rsid w:val="00402853"/>
    <w:rsid w:val="00403401"/>
    <w:rsid w:val="00404831"/>
    <w:rsid w:val="00407661"/>
    <w:rsid w:val="00410314"/>
    <w:rsid w:val="00412063"/>
    <w:rsid w:val="00412EB1"/>
    <w:rsid w:val="00413DDE"/>
    <w:rsid w:val="00414118"/>
    <w:rsid w:val="00416084"/>
    <w:rsid w:val="00416377"/>
    <w:rsid w:val="00424F8C"/>
    <w:rsid w:val="004271BA"/>
    <w:rsid w:val="00427359"/>
    <w:rsid w:val="00430497"/>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2F0"/>
    <w:rsid w:val="0048750F"/>
    <w:rsid w:val="00487F35"/>
    <w:rsid w:val="00491C2B"/>
    <w:rsid w:val="004A495F"/>
    <w:rsid w:val="004A7544"/>
    <w:rsid w:val="004B0A95"/>
    <w:rsid w:val="004B3EA8"/>
    <w:rsid w:val="004B6B0F"/>
    <w:rsid w:val="004C2B54"/>
    <w:rsid w:val="004C3200"/>
    <w:rsid w:val="004C7DC8"/>
    <w:rsid w:val="004D52C3"/>
    <w:rsid w:val="004D737D"/>
    <w:rsid w:val="004E2659"/>
    <w:rsid w:val="004E39EE"/>
    <w:rsid w:val="004E475C"/>
    <w:rsid w:val="004E5152"/>
    <w:rsid w:val="004E56E0"/>
    <w:rsid w:val="004E689C"/>
    <w:rsid w:val="004E7329"/>
    <w:rsid w:val="004F2CB0"/>
    <w:rsid w:val="004F31E9"/>
    <w:rsid w:val="004F613B"/>
    <w:rsid w:val="004F6342"/>
    <w:rsid w:val="005017F7"/>
    <w:rsid w:val="00501FA7"/>
    <w:rsid w:val="005034DC"/>
    <w:rsid w:val="00504688"/>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3055"/>
    <w:rsid w:val="00533159"/>
    <w:rsid w:val="005339DB"/>
    <w:rsid w:val="00534C89"/>
    <w:rsid w:val="00541573"/>
    <w:rsid w:val="0054348A"/>
    <w:rsid w:val="00543A05"/>
    <w:rsid w:val="005507CC"/>
    <w:rsid w:val="00553965"/>
    <w:rsid w:val="00554AA7"/>
    <w:rsid w:val="00562D5B"/>
    <w:rsid w:val="00564E25"/>
    <w:rsid w:val="005667EF"/>
    <w:rsid w:val="00570E7B"/>
    <w:rsid w:val="00571777"/>
    <w:rsid w:val="00574C59"/>
    <w:rsid w:val="00580FF5"/>
    <w:rsid w:val="0058348E"/>
    <w:rsid w:val="0058519C"/>
    <w:rsid w:val="00586242"/>
    <w:rsid w:val="0058691B"/>
    <w:rsid w:val="0059149A"/>
    <w:rsid w:val="005956EE"/>
    <w:rsid w:val="005A083E"/>
    <w:rsid w:val="005A0C62"/>
    <w:rsid w:val="005A0EEE"/>
    <w:rsid w:val="005A5F53"/>
    <w:rsid w:val="005B0175"/>
    <w:rsid w:val="005B4802"/>
    <w:rsid w:val="005B51E8"/>
    <w:rsid w:val="005C1EA6"/>
    <w:rsid w:val="005C4399"/>
    <w:rsid w:val="005C5F6D"/>
    <w:rsid w:val="005D0A17"/>
    <w:rsid w:val="005D0B99"/>
    <w:rsid w:val="005D12FF"/>
    <w:rsid w:val="005D2345"/>
    <w:rsid w:val="005D308E"/>
    <w:rsid w:val="005D3A48"/>
    <w:rsid w:val="005D7AF8"/>
    <w:rsid w:val="005E2F31"/>
    <w:rsid w:val="005E366A"/>
    <w:rsid w:val="005E6457"/>
    <w:rsid w:val="005F0E3F"/>
    <w:rsid w:val="005F2145"/>
    <w:rsid w:val="005F7D66"/>
    <w:rsid w:val="00600410"/>
    <w:rsid w:val="006016E1"/>
    <w:rsid w:val="006025E3"/>
    <w:rsid w:val="00602D27"/>
    <w:rsid w:val="00604230"/>
    <w:rsid w:val="00612AFA"/>
    <w:rsid w:val="006144A1"/>
    <w:rsid w:val="00615EBB"/>
    <w:rsid w:val="00616096"/>
    <w:rsid w:val="006160A2"/>
    <w:rsid w:val="00617110"/>
    <w:rsid w:val="006231F1"/>
    <w:rsid w:val="00623CCF"/>
    <w:rsid w:val="006302AA"/>
    <w:rsid w:val="00634E15"/>
    <w:rsid w:val="006363BD"/>
    <w:rsid w:val="00636A0C"/>
    <w:rsid w:val="00636D5A"/>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70AC"/>
    <w:rsid w:val="00672307"/>
    <w:rsid w:val="00675A7F"/>
    <w:rsid w:val="006808C6"/>
    <w:rsid w:val="00682668"/>
    <w:rsid w:val="00692A68"/>
    <w:rsid w:val="006941E1"/>
    <w:rsid w:val="00695D85"/>
    <w:rsid w:val="006A30A2"/>
    <w:rsid w:val="006A6D23"/>
    <w:rsid w:val="006B25DE"/>
    <w:rsid w:val="006B79DA"/>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034"/>
    <w:rsid w:val="0070646B"/>
    <w:rsid w:val="007107B7"/>
    <w:rsid w:val="007110AC"/>
    <w:rsid w:val="007130A2"/>
    <w:rsid w:val="00715463"/>
    <w:rsid w:val="00727016"/>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6121E"/>
    <w:rsid w:val="00761E6F"/>
    <w:rsid w:val="007655D5"/>
    <w:rsid w:val="00771536"/>
    <w:rsid w:val="007754A1"/>
    <w:rsid w:val="007763C1"/>
    <w:rsid w:val="00777E82"/>
    <w:rsid w:val="00781359"/>
    <w:rsid w:val="00781A52"/>
    <w:rsid w:val="0078318C"/>
    <w:rsid w:val="007835CE"/>
    <w:rsid w:val="00786921"/>
    <w:rsid w:val="00797996"/>
    <w:rsid w:val="00797DB9"/>
    <w:rsid w:val="007A1EAA"/>
    <w:rsid w:val="007A3E41"/>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4E13"/>
    <w:rsid w:val="007E6D0B"/>
    <w:rsid w:val="007E7062"/>
    <w:rsid w:val="007F057D"/>
    <w:rsid w:val="007F0873"/>
    <w:rsid w:val="007F0E1E"/>
    <w:rsid w:val="007F29A7"/>
    <w:rsid w:val="007F7A5A"/>
    <w:rsid w:val="00805BE8"/>
    <w:rsid w:val="00806C90"/>
    <w:rsid w:val="00816078"/>
    <w:rsid w:val="008177E3"/>
    <w:rsid w:val="00823A85"/>
    <w:rsid w:val="00823AA9"/>
    <w:rsid w:val="00825586"/>
    <w:rsid w:val="008255B9"/>
    <w:rsid w:val="00825CD8"/>
    <w:rsid w:val="00827324"/>
    <w:rsid w:val="00827FA9"/>
    <w:rsid w:val="00837458"/>
    <w:rsid w:val="00837AAE"/>
    <w:rsid w:val="008429AD"/>
    <w:rsid w:val="008429DB"/>
    <w:rsid w:val="008434A2"/>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488"/>
    <w:rsid w:val="00893987"/>
    <w:rsid w:val="008963EF"/>
    <w:rsid w:val="0089688E"/>
    <w:rsid w:val="00897C55"/>
    <w:rsid w:val="008A09A0"/>
    <w:rsid w:val="008A1FBE"/>
    <w:rsid w:val="008B3194"/>
    <w:rsid w:val="008B5AE7"/>
    <w:rsid w:val="008C0AED"/>
    <w:rsid w:val="008C247E"/>
    <w:rsid w:val="008C320D"/>
    <w:rsid w:val="008C406A"/>
    <w:rsid w:val="008C60E9"/>
    <w:rsid w:val="008D14AD"/>
    <w:rsid w:val="008D1B7C"/>
    <w:rsid w:val="008D5375"/>
    <w:rsid w:val="008D5738"/>
    <w:rsid w:val="008D6657"/>
    <w:rsid w:val="008E0CE9"/>
    <w:rsid w:val="008E11C2"/>
    <w:rsid w:val="008E1F60"/>
    <w:rsid w:val="008E252E"/>
    <w:rsid w:val="008E307E"/>
    <w:rsid w:val="008E5EA2"/>
    <w:rsid w:val="008F4C46"/>
    <w:rsid w:val="008F4DD1"/>
    <w:rsid w:val="008F5CAB"/>
    <w:rsid w:val="008F6056"/>
    <w:rsid w:val="00902C07"/>
    <w:rsid w:val="00904574"/>
    <w:rsid w:val="00905804"/>
    <w:rsid w:val="009101E2"/>
    <w:rsid w:val="00913CCE"/>
    <w:rsid w:val="00915D73"/>
    <w:rsid w:val="00916077"/>
    <w:rsid w:val="009170A2"/>
    <w:rsid w:val="009208A6"/>
    <w:rsid w:val="00924514"/>
    <w:rsid w:val="00927316"/>
    <w:rsid w:val="0093276D"/>
    <w:rsid w:val="00933174"/>
    <w:rsid w:val="00933D12"/>
    <w:rsid w:val="00937065"/>
    <w:rsid w:val="00940285"/>
    <w:rsid w:val="009415B0"/>
    <w:rsid w:val="00941EF9"/>
    <w:rsid w:val="009476F2"/>
    <w:rsid w:val="00947E7E"/>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A7EAA"/>
    <w:rsid w:val="009B1DF8"/>
    <w:rsid w:val="009B3D20"/>
    <w:rsid w:val="009B5418"/>
    <w:rsid w:val="009B57D2"/>
    <w:rsid w:val="009B5C0C"/>
    <w:rsid w:val="009B6070"/>
    <w:rsid w:val="009B66B1"/>
    <w:rsid w:val="009C0727"/>
    <w:rsid w:val="009C492F"/>
    <w:rsid w:val="009C5A92"/>
    <w:rsid w:val="009C7D22"/>
    <w:rsid w:val="009D158C"/>
    <w:rsid w:val="009D2FF2"/>
    <w:rsid w:val="009D3226"/>
    <w:rsid w:val="009D3385"/>
    <w:rsid w:val="009D793C"/>
    <w:rsid w:val="009E16A9"/>
    <w:rsid w:val="009E2215"/>
    <w:rsid w:val="009E375F"/>
    <w:rsid w:val="009E39D4"/>
    <w:rsid w:val="009E5401"/>
    <w:rsid w:val="009F0A49"/>
    <w:rsid w:val="009F0DD3"/>
    <w:rsid w:val="009F3DDA"/>
    <w:rsid w:val="009F4586"/>
    <w:rsid w:val="009F5607"/>
    <w:rsid w:val="00A0307E"/>
    <w:rsid w:val="00A0758F"/>
    <w:rsid w:val="00A1570A"/>
    <w:rsid w:val="00A211B4"/>
    <w:rsid w:val="00A215F9"/>
    <w:rsid w:val="00A22BD2"/>
    <w:rsid w:val="00A235FE"/>
    <w:rsid w:val="00A33DDF"/>
    <w:rsid w:val="00A34547"/>
    <w:rsid w:val="00A35744"/>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648"/>
    <w:rsid w:val="00AA1CFD"/>
    <w:rsid w:val="00AA1D4E"/>
    <w:rsid w:val="00AA2239"/>
    <w:rsid w:val="00AA33D2"/>
    <w:rsid w:val="00AB0C57"/>
    <w:rsid w:val="00AB1195"/>
    <w:rsid w:val="00AB4182"/>
    <w:rsid w:val="00AB4810"/>
    <w:rsid w:val="00AB78BA"/>
    <w:rsid w:val="00AC1605"/>
    <w:rsid w:val="00AC27DB"/>
    <w:rsid w:val="00AC2FD5"/>
    <w:rsid w:val="00AC6172"/>
    <w:rsid w:val="00AC6D6B"/>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12B26"/>
    <w:rsid w:val="00B15CB4"/>
    <w:rsid w:val="00B15ECC"/>
    <w:rsid w:val="00B163F8"/>
    <w:rsid w:val="00B20214"/>
    <w:rsid w:val="00B2472D"/>
    <w:rsid w:val="00B24CA0"/>
    <w:rsid w:val="00B2549F"/>
    <w:rsid w:val="00B25F91"/>
    <w:rsid w:val="00B355B7"/>
    <w:rsid w:val="00B37611"/>
    <w:rsid w:val="00B4108D"/>
    <w:rsid w:val="00B42363"/>
    <w:rsid w:val="00B42DBD"/>
    <w:rsid w:val="00B5074F"/>
    <w:rsid w:val="00B53A40"/>
    <w:rsid w:val="00B57265"/>
    <w:rsid w:val="00B633AE"/>
    <w:rsid w:val="00B665D2"/>
    <w:rsid w:val="00B6737C"/>
    <w:rsid w:val="00B71A77"/>
    <w:rsid w:val="00B7214D"/>
    <w:rsid w:val="00B74372"/>
    <w:rsid w:val="00B75525"/>
    <w:rsid w:val="00B7667E"/>
    <w:rsid w:val="00B77B0C"/>
    <w:rsid w:val="00B80283"/>
    <w:rsid w:val="00B8095F"/>
    <w:rsid w:val="00B80B0C"/>
    <w:rsid w:val="00B80B11"/>
    <w:rsid w:val="00B831AE"/>
    <w:rsid w:val="00B833A3"/>
    <w:rsid w:val="00B8446C"/>
    <w:rsid w:val="00B87725"/>
    <w:rsid w:val="00B92A15"/>
    <w:rsid w:val="00B93FA3"/>
    <w:rsid w:val="00BA084C"/>
    <w:rsid w:val="00BA259A"/>
    <w:rsid w:val="00BA259C"/>
    <w:rsid w:val="00BA29D3"/>
    <w:rsid w:val="00BA307F"/>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226"/>
    <w:rsid w:val="00C47F08"/>
    <w:rsid w:val="00C514A6"/>
    <w:rsid w:val="00C5739F"/>
    <w:rsid w:val="00C57CF0"/>
    <w:rsid w:val="00C649BD"/>
    <w:rsid w:val="00C65891"/>
    <w:rsid w:val="00C66AC9"/>
    <w:rsid w:val="00C66F60"/>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57A0"/>
    <w:rsid w:val="00CA6D12"/>
    <w:rsid w:val="00CB0305"/>
    <w:rsid w:val="00CB33C7"/>
    <w:rsid w:val="00CB5028"/>
    <w:rsid w:val="00CB6DA7"/>
    <w:rsid w:val="00CB7C6D"/>
    <w:rsid w:val="00CB7E4C"/>
    <w:rsid w:val="00CC0E90"/>
    <w:rsid w:val="00CC1311"/>
    <w:rsid w:val="00CC25B4"/>
    <w:rsid w:val="00CC5F88"/>
    <w:rsid w:val="00CC69C8"/>
    <w:rsid w:val="00CC6CD7"/>
    <w:rsid w:val="00CC77A2"/>
    <w:rsid w:val="00CD307E"/>
    <w:rsid w:val="00CD6A1B"/>
    <w:rsid w:val="00CE0A7F"/>
    <w:rsid w:val="00CE1718"/>
    <w:rsid w:val="00CE2B4F"/>
    <w:rsid w:val="00CF0D4E"/>
    <w:rsid w:val="00CF180E"/>
    <w:rsid w:val="00CF4156"/>
    <w:rsid w:val="00D00F6F"/>
    <w:rsid w:val="00D03D00"/>
    <w:rsid w:val="00D05C30"/>
    <w:rsid w:val="00D0660A"/>
    <w:rsid w:val="00D10EF7"/>
    <w:rsid w:val="00D11359"/>
    <w:rsid w:val="00D12372"/>
    <w:rsid w:val="00D170D0"/>
    <w:rsid w:val="00D22812"/>
    <w:rsid w:val="00D236F0"/>
    <w:rsid w:val="00D23F16"/>
    <w:rsid w:val="00D24E9B"/>
    <w:rsid w:val="00D26534"/>
    <w:rsid w:val="00D26B49"/>
    <w:rsid w:val="00D3188C"/>
    <w:rsid w:val="00D35F9B"/>
    <w:rsid w:val="00D36B69"/>
    <w:rsid w:val="00D408DD"/>
    <w:rsid w:val="00D41A82"/>
    <w:rsid w:val="00D45D72"/>
    <w:rsid w:val="00D50F47"/>
    <w:rsid w:val="00D520E4"/>
    <w:rsid w:val="00D538CC"/>
    <w:rsid w:val="00D53A38"/>
    <w:rsid w:val="00D56C2E"/>
    <w:rsid w:val="00D56D03"/>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21D6"/>
    <w:rsid w:val="00DA2837"/>
    <w:rsid w:val="00DA3A86"/>
    <w:rsid w:val="00DA7FB9"/>
    <w:rsid w:val="00DB04C0"/>
    <w:rsid w:val="00DB3EE1"/>
    <w:rsid w:val="00DB76A9"/>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5F54"/>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74969"/>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73DF"/>
    <w:rsid w:val="00EB61AE"/>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5516"/>
    <w:rsid w:val="00F3571D"/>
    <w:rsid w:val="00F35790"/>
    <w:rsid w:val="00F40D70"/>
    <w:rsid w:val="00F4136D"/>
    <w:rsid w:val="00F4212E"/>
    <w:rsid w:val="00F42C20"/>
    <w:rsid w:val="00F43B72"/>
    <w:rsid w:val="00F43E34"/>
    <w:rsid w:val="00F53053"/>
    <w:rsid w:val="00F53FE2"/>
    <w:rsid w:val="00F575FF"/>
    <w:rsid w:val="00F602B0"/>
    <w:rsid w:val="00F60878"/>
    <w:rsid w:val="00F618EF"/>
    <w:rsid w:val="00F65582"/>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96BD9"/>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4BFF"/>
    <w:rsid w:val="00FC69B4"/>
    <w:rsid w:val="00FD0694"/>
    <w:rsid w:val="00FD25BE"/>
    <w:rsid w:val="00FD2E70"/>
    <w:rsid w:val="00FD7AA7"/>
    <w:rsid w:val="00FE10AA"/>
    <w:rsid w:val="00FE54F4"/>
    <w:rsid w:val="00FE656A"/>
    <w:rsid w:val="00FF0664"/>
    <w:rsid w:val="00FF1FCB"/>
    <w:rsid w:val="00FF3A63"/>
    <w:rsid w:val="00FF52D4"/>
    <w:rsid w:val="00FF6AA4"/>
    <w:rsid w:val="00FF6B09"/>
    <w:rsid w:val="00FF7A10"/>
    <w:rsid w:val="0A357569"/>
    <w:rsid w:val="0BBC3C73"/>
    <w:rsid w:val="14FE1CF4"/>
    <w:rsid w:val="1EC8A1BB"/>
    <w:rsid w:val="1F4B62A1"/>
    <w:rsid w:val="22BA22B7"/>
    <w:rsid w:val="2692594A"/>
    <w:rsid w:val="3884A5F6"/>
    <w:rsid w:val="388A6D28"/>
    <w:rsid w:val="3D24ADE7"/>
    <w:rsid w:val="4336EFE4"/>
    <w:rsid w:val="43D767B2"/>
    <w:rsid w:val="4AE885FA"/>
    <w:rsid w:val="4C9CB026"/>
    <w:rsid w:val="4DAFBA4F"/>
    <w:rsid w:val="4E443A99"/>
    <w:rsid w:val="567567DF"/>
    <w:rsid w:val="589C6BD5"/>
    <w:rsid w:val="5A59F54A"/>
    <w:rsid w:val="69DD4A93"/>
    <w:rsid w:val="77F9B1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401352EE-DF60-43C6-8E4D-3DCAB0969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aliases w:val="cap Char3,cap Char Char2,Caption Char1 Char Char1,cap Char Char1 Char1,Caption Char Char1 Char Char1,cap Char2 Char1,题注 Char1"/>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题注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 w:type="paragraph" w:styleId="BodyText2">
    <w:name w:val="Body Text 2"/>
    <w:basedOn w:val="Normal"/>
    <w:link w:val="BodyText2Char"/>
    <w:unhideWhenUsed/>
    <w:rsid w:val="00E74969"/>
    <w:pPr>
      <w:spacing w:after="120" w:line="480" w:lineRule="auto"/>
    </w:pPr>
  </w:style>
  <w:style w:type="character" w:customStyle="1" w:styleId="BodyText2Char">
    <w:name w:val="Body Text 2 Char"/>
    <w:basedOn w:val="DefaultParagraphFont"/>
    <w:link w:val="BodyText2"/>
    <w:rsid w:val="00E74969"/>
    <w:rPr>
      <w:lang w:val="en-GB" w:eastAsia="en-US"/>
    </w:rPr>
  </w:style>
  <w:style w:type="character" w:customStyle="1" w:styleId="normaltextrun">
    <w:name w:val="normaltextrun"/>
    <w:basedOn w:val="DefaultParagraphFont"/>
    <w:rsid w:val="00E74969"/>
  </w:style>
  <w:style w:type="character" w:customStyle="1" w:styleId="eop">
    <w:name w:val="eop"/>
    <w:basedOn w:val="DefaultParagraphFont"/>
    <w:rsid w:val="00E74969"/>
  </w:style>
  <w:style w:type="paragraph" w:styleId="Revision">
    <w:name w:val="Revision"/>
    <w:hidden/>
    <w:uiPriority w:val="99"/>
    <w:unhideWhenUsed/>
    <w:rsid w:val="00F96BD9"/>
    <w:rPr>
      <w:lang w:val="en-GB" w:eastAsia="en-US"/>
    </w:rPr>
  </w:style>
  <w:style w:type="paragraph" w:customStyle="1" w:styleId="paragraph">
    <w:name w:val="paragraph"/>
    <w:basedOn w:val="Normal"/>
    <w:rsid w:val="00CF180E"/>
    <w:pPr>
      <w:spacing w:before="100" w:beforeAutospacing="1" w:after="100" w:afterAutospacing="1"/>
    </w:pPr>
    <w:rPr>
      <w:rFonts w:eastAsia="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7098">
      <w:bodyDiv w:val="1"/>
      <w:marLeft w:val="0"/>
      <w:marRight w:val="0"/>
      <w:marTop w:val="0"/>
      <w:marBottom w:val="0"/>
      <w:divBdr>
        <w:top w:val="none" w:sz="0" w:space="0" w:color="auto"/>
        <w:left w:val="none" w:sz="0" w:space="0" w:color="auto"/>
        <w:bottom w:val="none" w:sz="0" w:space="0" w:color="auto"/>
        <w:right w:val="none" w:sz="0" w:space="0" w:color="auto"/>
      </w:divBdr>
    </w:div>
    <w:div w:id="833034741">
      <w:bodyDiv w:val="1"/>
      <w:marLeft w:val="0"/>
      <w:marRight w:val="0"/>
      <w:marTop w:val="0"/>
      <w:marBottom w:val="0"/>
      <w:divBdr>
        <w:top w:val="none" w:sz="0" w:space="0" w:color="auto"/>
        <w:left w:val="none" w:sz="0" w:space="0" w:color="auto"/>
        <w:bottom w:val="none" w:sz="0" w:space="0" w:color="auto"/>
        <w:right w:val="none" w:sz="0" w:space="0" w:color="auto"/>
      </w:divBdr>
    </w:div>
    <w:div w:id="1253708660">
      <w:bodyDiv w:val="1"/>
      <w:marLeft w:val="0"/>
      <w:marRight w:val="0"/>
      <w:marTop w:val="0"/>
      <w:marBottom w:val="0"/>
      <w:divBdr>
        <w:top w:val="none" w:sz="0" w:space="0" w:color="auto"/>
        <w:left w:val="none" w:sz="0" w:space="0" w:color="auto"/>
        <w:bottom w:val="none" w:sz="0" w:space="0" w:color="auto"/>
        <w:right w:val="none" w:sz="0" w:space="0" w:color="auto"/>
      </w:divBdr>
      <w:divsChild>
        <w:div w:id="624652801">
          <w:marLeft w:val="547"/>
          <w:marRight w:val="0"/>
          <w:marTop w:val="106"/>
          <w:marBottom w:val="0"/>
          <w:divBdr>
            <w:top w:val="none" w:sz="0" w:space="0" w:color="auto"/>
            <w:left w:val="none" w:sz="0" w:space="0" w:color="auto"/>
            <w:bottom w:val="none" w:sz="0" w:space="0" w:color="auto"/>
            <w:right w:val="none" w:sz="0" w:space="0" w:color="auto"/>
          </w:divBdr>
        </w:div>
      </w:divsChild>
    </w:div>
    <w:div w:id="1870491558">
      <w:bodyDiv w:val="1"/>
      <w:marLeft w:val="0"/>
      <w:marRight w:val="0"/>
      <w:marTop w:val="0"/>
      <w:marBottom w:val="0"/>
      <w:divBdr>
        <w:top w:val="none" w:sz="0" w:space="0" w:color="auto"/>
        <w:left w:val="none" w:sz="0" w:space="0" w:color="auto"/>
        <w:bottom w:val="none" w:sz="0" w:space="0" w:color="auto"/>
        <w:right w:val="none" w:sz="0" w:space="0" w:color="auto"/>
      </w:divBdr>
      <w:divsChild>
        <w:div w:id="10303456">
          <w:marLeft w:val="-75"/>
          <w:marRight w:val="0"/>
          <w:marTop w:val="30"/>
          <w:marBottom w:val="30"/>
          <w:divBdr>
            <w:top w:val="none" w:sz="0" w:space="0" w:color="auto"/>
            <w:left w:val="none" w:sz="0" w:space="0" w:color="auto"/>
            <w:bottom w:val="none" w:sz="0" w:space="0" w:color="auto"/>
            <w:right w:val="none" w:sz="0" w:space="0" w:color="auto"/>
          </w:divBdr>
          <w:divsChild>
            <w:div w:id="1611664287">
              <w:marLeft w:val="0"/>
              <w:marRight w:val="0"/>
              <w:marTop w:val="0"/>
              <w:marBottom w:val="0"/>
              <w:divBdr>
                <w:top w:val="none" w:sz="0" w:space="0" w:color="auto"/>
                <w:left w:val="none" w:sz="0" w:space="0" w:color="auto"/>
                <w:bottom w:val="none" w:sz="0" w:space="0" w:color="auto"/>
                <w:right w:val="none" w:sz="0" w:space="0" w:color="auto"/>
              </w:divBdr>
              <w:divsChild>
                <w:div w:id="300505620">
                  <w:marLeft w:val="0"/>
                  <w:marRight w:val="0"/>
                  <w:marTop w:val="0"/>
                  <w:marBottom w:val="0"/>
                  <w:divBdr>
                    <w:top w:val="none" w:sz="0" w:space="0" w:color="auto"/>
                    <w:left w:val="none" w:sz="0" w:space="0" w:color="auto"/>
                    <w:bottom w:val="none" w:sz="0" w:space="0" w:color="auto"/>
                    <w:right w:val="none" w:sz="0" w:space="0" w:color="auto"/>
                  </w:divBdr>
                </w:div>
              </w:divsChild>
            </w:div>
            <w:div w:id="594480141">
              <w:marLeft w:val="0"/>
              <w:marRight w:val="0"/>
              <w:marTop w:val="0"/>
              <w:marBottom w:val="0"/>
              <w:divBdr>
                <w:top w:val="none" w:sz="0" w:space="0" w:color="auto"/>
                <w:left w:val="none" w:sz="0" w:space="0" w:color="auto"/>
                <w:bottom w:val="none" w:sz="0" w:space="0" w:color="auto"/>
                <w:right w:val="none" w:sz="0" w:space="0" w:color="auto"/>
              </w:divBdr>
              <w:divsChild>
                <w:div w:id="1702583303">
                  <w:marLeft w:val="0"/>
                  <w:marRight w:val="0"/>
                  <w:marTop w:val="0"/>
                  <w:marBottom w:val="0"/>
                  <w:divBdr>
                    <w:top w:val="none" w:sz="0" w:space="0" w:color="auto"/>
                    <w:left w:val="none" w:sz="0" w:space="0" w:color="auto"/>
                    <w:bottom w:val="none" w:sz="0" w:space="0" w:color="auto"/>
                    <w:right w:val="none" w:sz="0" w:space="0" w:color="auto"/>
                  </w:divBdr>
                </w:div>
              </w:divsChild>
            </w:div>
            <w:div w:id="644968471">
              <w:marLeft w:val="0"/>
              <w:marRight w:val="0"/>
              <w:marTop w:val="0"/>
              <w:marBottom w:val="0"/>
              <w:divBdr>
                <w:top w:val="none" w:sz="0" w:space="0" w:color="auto"/>
                <w:left w:val="none" w:sz="0" w:space="0" w:color="auto"/>
                <w:bottom w:val="none" w:sz="0" w:space="0" w:color="auto"/>
                <w:right w:val="none" w:sz="0" w:space="0" w:color="auto"/>
              </w:divBdr>
              <w:divsChild>
                <w:div w:id="1218975053">
                  <w:marLeft w:val="0"/>
                  <w:marRight w:val="0"/>
                  <w:marTop w:val="0"/>
                  <w:marBottom w:val="0"/>
                  <w:divBdr>
                    <w:top w:val="none" w:sz="0" w:space="0" w:color="auto"/>
                    <w:left w:val="none" w:sz="0" w:space="0" w:color="auto"/>
                    <w:bottom w:val="none" w:sz="0" w:space="0" w:color="auto"/>
                    <w:right w:val="none" w:sz="0" w:space="0" w:color="auto"/>
                  </w:divBdr>
                </w:div>
              </w:divsChild>
            </w:div>
            <w:div w:id="1283268083">
              <w:marLeft w:val="0"/>
              <w:marRight w:val="0"/>
              <w:marTop w:val="0"/>
              <w:marBottom w:val="0"/>
              <w:divBdr>
                <w:top w:val="none" w:sz="0" w:space="0" w:color="auto"/>
                <w:left w:val="none" w:sz="0" w:space="0" w:color="auto"/>
                <w:bottom w:val="none" w:sz="0" w:space="0" w:color="auto"/>
                <w:right w:val="none" w:sz="0" w:space="0" w:color="auto"/>
              </w:divBdr>
              <w:divsChild>
                <w:div w:id="1162618007">
                  <w:marLeft w:val="0"/>
                  <w:marRight w:val="0"/>
                  <w:marTop w:val="0"/>
                  <w:marBottom w:val="0"/>
                  <w:divBdr>
                    <w:top w:val="none" w:sz="0" w:space="0" w:color="auto"/>
                    <w:left w:val="none" w:sz="0" w:space="0" w:color="auto"/>
                    <w:bottom w:val="none" w:sz="0" w:space="0" w:color="auto"/>
                    <w:right w:val="none" w:sz="0" w:space="0" w:color="auto"/>
                  </w:divBdr>
                </w:div>
              </w:divsChild>
            </w:div>
            <w:div w:id="2139180009">
              <w:marLeft w:val="0"/>
              <w:marRight w:val="0"/>
              <w:marTop w:val="0"/>
              <w:marBottom w:val="0"/>
              <w:divBdr>
                <w:top w:val="none" w:sz="0" w:space="0" w:color="auto"/>
                <w:left w:val="none" w:sz="0" w:space="0" w:color="auto"/>
                <w:bottom w:val="none" w:sz="0" w:space="0" w:color="auto"/>
                <w:right w:val="none" w:sz="0" w:space="0" w:color="auto"/>
              </w:divBdr>
              <w:divsChild>
                <w:div w:id="1061826143">
                  <w:marLeft w:val="0"/>
                  <w:marRight w:val="0"/>
                  <w:marTop w:val="0"/>
                  <w:marBottom w:val="0"/>
                  <w:divBdr>
                    <w:top w:val="none" w:sz="0" w:space="0" w:color="auto"/>
                    <w:left w:val="none" w:sz="0" w:space="0" w:color="auto"/>
                    <w:bottom w:val="none" w:sz="0" w:space="0" w:color="auto"/>
                    <w:right w:val="none" w:sz="0" w:space="0" w:color="auto"/>
                  </w:divBdr>
                </w:div>
                <w:div w:id="1986736338">
                  <w:marLeft w:val="0"/>
                  <w:marRight w:val="0"/>
                  <w:marTop w:val="0"/>
                  <w:marBottom w:val="0"/>
                  <w:divBdr>
                    <w:top w:val="none" w:sz="0" w:space="0" w:color="auto"/>
                    <w:left w:val="none" w:sz="0" w:space="0" w:color="auto"/>
                    <w:bottom w:val="none" w:sz="0" w:space="0" w:color="auto"/>
                    <w:right w:val="none" w:sz="0" w:space="0" w:color="auto"/>
                  </w:divBdr>
                </w:div>
              </w:divsChild>
            </w:div>
            <w:div w:id="1281567196">
              <w:marLeft w:val="0"/>
              <w:marRight w:val="0"/>
              <w:marTop w:val="0"/>
              <w:marBottom w:val="0"/>
              <w:divBdr>
                <w:top w:val="none" w:sz="0" w:space="0" w:color="auto"/>
                <w:left w:val="none" w:sz="0" w:space="0" w:color="auto"/>
                <w:bottom w:val="none" w:sz="0" w:space="0" w:color="auto"/>
                <w:right w:val="none" w:sz="0" w:space="0" w:color="auto"/>
              </w:divBdr>
              <w:divsChild>
                <w:div w:id="1458792089">
                  <w:marLeft w:val="0"/>
                  <w:marRight w:val="0"/>
                  <w:marTop w:val="0"/>
                  <w:marBottom w:val="0"/>
                  <w:divBdr>
                    <w:top w:val="none" w:sz="0" w:space="0" w:color="auto"/>
                    <w:left w:val="none" w:sz="0" w:space="0" w:color="auto"/>
                    <w:bottom w:val="none" w:sz="0" w:space="0" w:color="auto"/>
                    <w:right w:val="none" w:sz="0" w:space="0" w:color="auto"/>
                  </w:divBdr>
                </w:div>
                <w:div w:id="669254178">
                  <w:marLeft w:val="0"/>
                  <w:marRight w:val="0"/>
                  <w:marTop w:val="0"/>
                  <w:marBottom w:val="0"/>
                  <w:divBdr>
                    <w:top w:val="none" w:sz="0" w:space="0" w:color="auto"/>
                    <w:left w:val="none" w:sz="0" w:space="0" w:color="auto"/>
                    <w:bottom w:val="none" w:sz="0" w:space="0" w:color="auto"/>
                    <w:right w:val="none" w:sz="0" w:space="0" w:color="auto"/>
                  </w:divBdr>
                </w:div>
              </w:divsChild>
            </w:div>
            <w:div w:id="1314456717">
              <w:marLeft w:val="0"/>
              <w:marRight w:val="0"/>
              <w:marTop w:val="0"/>
              <w:marBottom w:val="0"/>
              <w:divBdr>
                <w:top w:val="none" w:sz="0" w:space="0" w:color="auto"/>
                <w:left w:val="none" w:sz="0" w:space="0" w:color="auto"/>
                <w:bottom w:val="none" w:sz="0" w:space="0" w:color="auto"/>
                <w:right w:val="none" w:sz="0" w:space="0" w:color="auto"/>
              </w:divBdr>
              <w:divsChild>
                <w:div w:id="1966154244">
                  <w:marLeft w:val="0"/>
                  <w:marRight w:val="0"/>
                  <w:marTop w:val="0"/>
                  <w:marBottom w:val="0"/>
                  <w:divBdr>
                    <w:top w:val="none" w:sz="0" w:space="0" w:color="auto"/>
                    <w:left w:val="none" w:sz="0" w:space="0" w:color="auto"/>
                    <w:bottom w:val="none" w:sz="0" w:space="0" w:color="auto"/>
                    <w:right w:val="none" w:sz="0" w:space="0" w:color="auto"/>
                  </w:divBdr>
                </w:div>
                <w:div w:id="1952928732">
                  <w:marLeft w:val="0"/>
                  <w:marRight w:val="0"/>
                  <w:marTop w:val="0"/>
                  <w:marBottom w:val="0"/>
                  <w:divBdr>
                    <w:top w:val="none" w:sz="0" w:space="0" w:color="auto"/>
                    <w:left w:val="none" w:sz="0" w:space="0" w:color="auto"/>
                    <w:bottom w:val="none" w:sz="0" w:space="0" w:color="auto"/>
                    <w:right w:val="none" w:sz="0" w:space="0" w:color="auto"/>
                  </w:divBdr>
                </w:div>
              </w:divsChild>
            </w:div>
            <w:div w:id="1541355486">
              <w:marLeft w:val="0"/>
              <w:marRight w:val="0"/>
              <w:marTop w:val="0"/>
              <w:marBottom w:val="0"/>
              <w:divBdr>
                <w:top w:val="none" w:sz="0" w:space="0" w:color="auto"/>
                <w:left w:val="none" w:sz="0" w:space="0" w:color="auto"/>
                <w:bottom w:val="none" w:sz="0" w:space="0" w:color="auto"/>
                <w:right w:val="none" w:sz="0" w:space="0" w:color="auto"/>
              </w:divBdr>
              <w:divsChild>
                <w:div w:id="238371507">
                  <w:marLeft w:val="0"/>
                  <w:marRight w:val="0"/>
                  <w:marTop w:val="0"/>
                  <w:marBottom w:val="0"/>
                  <w:divBdr>
                    <w:top w:val="none" w:sz="0" w:space="0" w:color="auto"/>
                    <w:left w:val="none" w:sz="0" w:space="0" w:color="auto"/>
                    <w:bottom w:val="none" w:sz="0" w:space="0" w:color="auto"/>
                    <w:right w:val="none" w:sz="0" w:space="0" w:color="auto"/>
                  </w:divBdr>
                </w:div>
                <w:div w:id="1797486813">
                  <w:marLeft w:val="0"/>
                  <w:marRight w:val="0"/>
                  <w:marTop w:val="0"/>
                  <w:marBottom w:val="0"/>
                  <w:divBdr>
                    <w:top w:val="none" w:sz="0" w:space="0" w:color="auto"/>
                    <w:left w:val="none" w:sz="0" w:space="0" w:color="auto"/>
                    <w:bottom w:val="none" w:sz="0" w:space="0" w:color="auto"/>
                    <w:right w:val="none" w:sz="0" w:space="0" w:color="auto"/>
                  </w:divBdr>
                </w:div>
              </w:divsChild>
            </w:div>
            <w:div w:id="1371105429">
              <w:marLeft w:val="0"/>
              <w:marRight w:val="0"/>
              <w:marTop w:val="0"/>
              <w:marBottom w:val="0"/>
              <w:divBdr>
                <w:top w:val="none" w:sz="0" w:space="0" w:color="auto"/>
                <w:left w:val="none" w:sz="0" w:space="0" w:color="auto"/>
                <w:bottom w:val="none" w:sz="0" w:space="0" w:color="auto"/>
                <w:right w:val="none" w:sz="0" w:space="0" w:color="auto"/>
              </w:divBdr>
              <w:divsChild>
                <w:div w:id="1224290789">
                  <w:marLeft w:val="0"/>
                  <w:marRight w:val="0"/>
                  <w:marTop w:val="0"/>
                  <w:marBottom w:val="0"/>
                  <w:divBdr>
                    <w:top w:val="none" w:sz="0" w:space="0" w:color="auto"/>
                    <w:left w:val="none" w:sz="0" w:space="0" w:color="auto"/>
                    <w:bottom w:val="none" w:sz="0" w:space="0" w:color="auto"/>
                    <w:right w:val="none" w:sz="0" w:space="0" w:color="auto"/>
                  </w:divBdr>
                </w:div>
                <w:div w:id="598371101">
                  <w:marLeft w:val="0"/>
                  <w:marRight w:val="0"/>
                  <w:marTop w:val="0"/>
                  <w:marBottom w:val="0"/>
                  <w:divBdr>
                    <w:top w:val="none" w:sz="0" w:space="0" w:color="auto"/>
                    <w:left w:val="none" w:sz="0" w:space="0" w:color="auto"/>
                    <w:bottom w:val="none" w:sz="0" w:space="0" w:color="auto"/>
                    <w:right w:val="none" w:sz="0" w:space="0" w:color="auto"/>
                  </w:divBdr>
                </w:div>
              </w:divsChild>
            </w:div>
            <w:div w:id="1586841348">
              <w:marLeft w:val="0"/>
              <w:marRight w:val="0"/>
              <w:marTop w:val="0"/>
              <w:marBottom w:val="0"/>
              <w:divBdr>
                <w:top w:val="none" w:sz="0" w:space="0" w:color="auto"/>
                <w:left w:val="none" w:sz="0" w:space="0" w:color="auto"/>
                <w:bottom w:val="none" w:sz="0" w:space="0" w:color="auto"/>
                <w:right w:val="none" w:sz="0" w:space="0" w:color="auto"/>
              </w:divBdr>
              <w:divsChild>
                <w:div w:id="1434210085">
                  <w:marLeft w:val="0"/>
                  <w:marRight w:val="0"/>
                  <w:marTop w:val="0"/>
                  <w:marBottom w:val="0"/>
                  <w:divBdr>
                    <w:top w:val="none" w:sz="0" w:space="0" w:color="auto"/>
                    <w:left w:val="none" w:sz="0" w:space="0" w:color="auto"/>
                    <w:bottom w:val="none" w:sz="0" w:space="0" w:color="auto"/>
                    <w:right w:val="none" w:sz="0" w:space="0" w:color="auto"/>
                  </w:divBdr>
                </w:div>
              </w:divsChild>
            </w:div>
            <w:div w:id="1636066160">
              <w:marLeft w:val="0"/>
              <w:marRight w:val="0"/>
              <w:marTop w:val="0"/>
              <w:marBottom w:val="0"/>
              <w:divBdr>
                <w:top w:val="none" w:sz="0" w:space="0" w:color="auto"/>
                <w:left w:val="none" w:sz="0" w:space="0" w:color="auto"/>
                <w:bottom w:val="none" w:sz="0" w:space="0" w:color="auto"/>
                <w:right w:val="none" w:sz="0" w:space="0" w:color="auto"/>
              </w:divBdr>
              <w:divsChild>
                <w:div w:id="8743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278354">
          <w:marLeft w:val="-75"/>
          <w:marRight w:val="0"/>
          <w:marTop w:val="30"/>
          <w:marBottom w:val="30"/>
          <w:divBdr>
            <w:top w:val="none" w:sz="0" w:space="0" w:color="auto"/>
            <w:left w:val="none" w:sz="0" w:space="0" w:color="auto"/>
            <w:bottom w:val="none" w:sz="0" w:space="0" w:color="auto"/>
            <w:right w:val="none" w:sz="0" w:space="0" w:color="auto"/>
          </w:divBdr>
          <w:divsChild>
            <w:div w:id="1975792034">
              <w:marLeft w:val="0"/>
              <w:marRight w:val="0"/>
              <w:marTop w:val="0"/>
              <w:marBottom w:val="0"/>
              <w:divBdr>
                <w:top w:val="none" w:sz="0" w:space="0" w:color="auto"/>
                <w:left w:val="none" w:sz="0" w:space="0" w:color="auto"/>
                <w:bottom w:val="none" w:sz="0" w:space="0" w:color="auto"/>
                <w:right w:val="none" w:sz="0" w:space="0" w:color="auto"/>
              </w:divBdr>
              <w:divsChild>
                <w:div w:id="417479754">
                  <w:marLeft w:val="0"/>
                  <w:marRight w:val="0"/>
                  <w:marTop w:val="0"/>
                  <w:marBottom w:val="0"/>
                  <w:divBdr>
                    <w:top w:val="none" w:sz="0" w:space="0" w:color="auto"/>
                    <w:left w:val="none" w:sz="0" w:space="0" w:color="auto"/>
                    <w:bottom w:val="none" w:sz="0" w:space="0" w:color="auto"/>
                    <w:right w:val="none" w:sz="0" w:space="0" w:color="auto"/>
                  </w:divBdr>
                </w:div>
              </w:divsChild>
            </w:div>
            <w:div w:id="1549490320">
              <w:marLeft w:val="0"/>
              <w:marRight w:val="0"/>
              <w:marTop w:val="0"/>
              <w:marBottom w:val="0"/>
              <w:divBdr>
                <w:top w:val="none" w:sz="0" w:space="0" w:color="auto"/>
                <w:left w:val="none" w:sz="0" w:space="0" w:color="auto"/>
                <w:bottom w:val="none" w:sz="0" w:space="0" w:color="auto"/>
                <w:right w:val="none" w:sz="0" w:space="0" w:color="auto"/>
              </w:divBdr>
              <w:divsChild>
                <w:div w:id="849639878">
                  <w:marLeft w:val="0"/>
                  <w:marRight w:val="0"/>
                  <w:marTop w:val="0"/>
                  <w:marBottom w:val="0"/>
                  <w:divBdr>
                    <w:top w:val="none" w:sz="0" w:space="0" w:color="auto"/>
                    <w:left w:val="none" w:sz="0" w:space="0" w:color="auto"/>
                    <w:bottom w:val="none" w:sz="0" w:space="0" w:color="auto"/>
                    <w:right w:val="none" w:sz="0" w:space="0" w:color="auto"/>
                  </w:divBdr>
                </w:div>
              </w:divsChild>
            </w:div>
            <w:div w:id="382870005">
              <w:marLeft w:val="0"/>
              <w:marRight w:val="0"/>
              <w:marTop w:val="0"/>
              <w:marBottom w:val="0"/>
              <w:divBdr>
                <w:top w:val="none" w:sz="0" w:space="0" w:color="auto"/>
                <w:left w:val="none" w:sz="0" w:space="0" w:color="auto"/>
                <w:bottom w:val="none" w:sz="0" w:space="0" w:color="auto"/>
                <w:right w:val="none" w:sz="0" w:space="0" w:color="auto"/>
              </w:divBdr>
              <w:divsChild>
                <w:div w:id="482813174">
                  <w:marLeft w:val="0"/>
                  <w:marRight w:val="0"/>
                  <w:marTop w:val="0"/>
                  <w:marBottom w:val="0"/>
                  <w:divBdr>
                    <w:top w:val="none" w:sz="0" w:space="0" w:color="auto"/>
                    <w:left w:val="none" w:sz="0" w:space="0" w:color="auto"/>
                    <w:bottom w:val="none" w:sz="0" w:space="0" w:color="auto"/>
                    <w:right w:val="none" w:sz="0" w:space="0" w:color="auto"/>
                  </w:divBdr>
                </w:div>
                <w:div w:id="152062915">
                  <w:marLeft w:val="0"/>
                  <w:marRight w:val="0"/>
                  <w:marTop w:val="0"/>
                  <w:marBottom w:val="0"/>
                  <w:divBdr>
                    <w:top w:val="none" w:sz="0" w:space="0" w:color="auto"/>
                    <w:left w:val="none" w:sz="0" w:space="0" w:color="auto"/>
                    <w:bottom w:val="none" w:sz="0" w:space="0" w:color="auto"/>
                    <w:right w:val="none" w:sz="0" w:space="0" w:color="auto"/>
                  </w:divBdr>
                </w:div>
              </w:divsChild>
            </w:div>
            <w:div w:id="163932783">
              <w:marLeft w:val="0"/>
              <w:marRight w:val="0"/>
              <w:marTop w:val="0"/>
              <w:marBottom w:val="0"/>
              <w:divBdr>
                <w:top w:val="none" w:sz="0" w:space="0" w:color="auto"/>
                <w:left w:val="none" w:sz="0" w:space="0" w:color="auto"/>
                <w:bottom w:val="none" w:sz="0" w:space="0" w:color="auto"/>
                <w:right w:val="none" w:sz="0" w:space="0" w:color="auto"/>
              </w:divBdr>
              <w:divsChild>
                <w:div w:id="933056081">
                  <w:marLeft w:val="0"/>
                  <w:marRight w:val="0"/>
                  <w:marTop w:val="0"/>
                  <w:marBottom w:val="0"/>
                  <w:divBdr>
                    <w:top w:val="none" w:sz="0" w:space="0" w:color="auto"/>
                    <w:left w:val="none" w:sz="0" w:space="0" w:color="auto"/>
                    <w:bottom w:val="none" w:sz="0" w:space="0" w:color="auto"/>
                    <w:right w:val="none" w:sz="0" w:space="0" w:color="auto"/>
                  </w:divBdr>
                </w:div>
              </w:divsChild>
            </w:div>
            <w:div w:id="1500609406">
              <w:marLeft w:val="0"/>
              <w:marRight w:val="0"/>
              <w:marTop w:val="0"/>
              <w:marBottom w:val="0"/>
              <w:divBdr>
                <w:top w:val="none" w:sz="0" w:space="0" w:color="auto"/>
                <w:left w:val="none" w:sz="0" w:space="0" w:color="auto"/>
                <w:bottom w:val="none" w:sz="0" w:space="0" w:color="auto"/>
                <w:right w:val="none" w:sz="0" w:space="0" w:color="auto"/>
              </w:divBdr>
              <w:divsChild>
                <w:div w:id="1529299928">
                  <w:marLeft w:val="0"/>
                  <w:marRight w:val="0"/>
                  <w:marTop w:val="0"/>
                  <w:marBottom w:val="0"/>
                  <w:divBdr>
                    <w:top w:val="none" w:sz="0" w:space="0" w:color="auto"/>
                    <w:left w:val="none" w:sz="0" w:space="0" w:color="auto"/>
                    <w:bottom w:val="none" w:sz="0" w:space="0" w:color="auto"/>
                    <w:right w:val="none" w:sz="0" w:space="0" w:color="auto"/>
                  </w:divBdr>
                </w:div>
              </w:divsChild>
            </w:div>
            <w:div w:id="565334084">
              <w:marLeft w:val="0"/>
              <w:marRight w:val="0"/>
              <w:marTop w:val="0"/>
              <w:marBottom w:val="0"/>
              <w:divBdr>
                <w:top w:val="none" w:sz="0" w:space="0" w:color="auto"/>
                <w:left w:val="none" w:sz="0" w:space="0" w:color="auto"/>
                <w:bottom w:val="none" w:sz="0" w:space="0" w:color="auto"/>
                <w:right w:val="none" w:sz="0" w:space="0" w:color="auto"/>
              </w:divBdr>
              <w:divsChild>
                <w:div w:id="759181882">
                  <w:marLeft w:val="0"/>
                  <w:marRight w:val="0"/>
                  <w:marTop w:val="0"/>
                  <w:marBottom w:val="0"/>
                  <w:divBdr>
                    <w:top w:val="none" w:sz="0" w:space="0" w:color="auto"/>
                    <w:left w:val="none" w:sz="0" w:space="0" w:color="auto"/>
                    <w:bottom w:val="none" w:sz="0" w:space="0" w:color="auto"/>
                    <w:right w:val="none" w:sz="0" w:space="0" w:color="auto"/>
                  </w:divBdr>
                </w:div>
                <w:div w:id="739981550">
                  <w:marLeft w:val="0"/>
                  <w:marRight w:val="0"/>
                  <w:marTop w:val="0"/>
                  <w:marBottom w:val="0"/>
                  <w:divBdr>
                    <w:top w:val="none" w:sz="0" w:space="0" w:color="auto"/>
                    <w:left w:val="none" w:sz="0" w:space="0" w:color="auto"/>
                    <w:bottom w:val="none" w:sz="0" w:space="0" w:color="auto"/>
                    <w:right w:val="none" w:sz="0" w:space="0" w:color="auto"/>
                  </w:divBdr>
                </w:div>
              </w:divsChild>
            </w:div>
            <w:div w:id="355618339">
              <w:marLeft w:val="0"/>
              <w:marRight w:val="0"/>
              <w:marTop w:val="0"/>
              <w:marBottom w:val="0"/>
              <w:divBdr>
                <w:top w:val="none" w:sz="0" w:space="0" w:color="auto"/>
                <w:left w:val="none" w:sz="0" w:space="0" w:color="auto"/>
                <w:bottom w:val="none" w:sz="0" w:space="0" w:color="auto"/>
                <w:right w:val="none" w:sz="0" w:space="0" w:color="auto"/>
              </w:divBdr>
              <w:divsChild>
                <w:div w:id="1492451958">
                  <w:marLeft w:val="0"/>
                  <w:marRight w:val="0"/>
                  <w:marTop w:val="0"/>
                  <w:marBottom w:val="0"/>
                  <w:divBdr>
                    <w:top w:val="none" w:sz="0" w:space="0" w:color="auto"/>
                    <w:left w:val="none" w:sz="0" w:space="0" w:color="auto"/>
                    <w:bottom w:val="none" w:sz="0" w:space="0" w:color="auto"/>
                    <w:right w:val="none" w:sz="0" w:space="0" w:color="auto"/>
                  </w:divBdr>
                </w:div>
                <w:div w:id="73938638">
                  <w:marLeft w:val="0"/>
                  <w:marRight w:val="0"/>
                  <w:marTop w:val="0"/>
                  <w:marBottom w:val="0"/>
                  <w:divBdr>
                    <w:top w:val="none" w:sz="0" w:space="0" w:color="auto"/>
                    <w:left w:val="none" w:sz="0" w:space="0" w:color="auto"/>
                    <w:bottom w:val="none" w:sz="0" w:space="0" w:color="auto"/>
                    <w:right w:val="none" w:sz="0" w:space="0" w:color="auto"/>
                  </w:divBdr>
                </w:div>
              </w:divsChild>
            </w:div>
            <w:div w:id="401101393">
              <w:marLeft w:val="0"/>
              <w:marRight w:val="0"/>
              <w:marTop w:val="0"/>
              <w:marBottom w:val="0"/>
              <w:divBdr>
                <w:top w:val="none" w:sz="0" w:space="0" w:color="auto"/>
                <w:left w:val="none" w:sz="0" w:space="0" w:color="auto"/>
                <w:bottom w:val="none" w:sz="0" w:space="0" w:color="auto"/>
                <w:right w:val="none" w:sz="0" w:space="0" w:color="auto"/>
              </w:divBdr>
              <w:divsChild>
                <w:div w:id="684134707">
                  <w:marLeft w:val="0"/>
                  <w:marRight w:val="0"/>
                  <w:marTop w:val="0"/>
                  <w:marBottom w:val="0"/>
                  <w:divBdr>
                    <w:top w:val="none" w:sz="0" w:space="0" w:color="auto"/>
                    <w:left w:val="none" w:sz="0" w:space="0" w:color="auto"/>
                    <w:bottom w:val="none" w:sz="0" w:space="0" w:color="auto"/>
                    <w:right w:val="none" w:sz="0" w:space="0" w:color="auto"/>
                  </w:divBdr>
                </w:div>
                <w:div w:id="1606187527">
                  <w:marLeft w:val="0"/>
                  <w:marRight w:val="0"/>
                  <w:marTop w:val="0"/>
                  <w:marBottom w:val="0"/>
                  <w:divBdr>
                    <w:top w:val="none" w:sz="0" w:space="0" w:color="auto"/>
                    <w:left w:val="none" w:sz="0" w:space="0" w:color="auto"/>
                    <w:bottom w:val="none" w:sz="0" w:space="0" w:color="auto"/>
                    <w:right w:val="none" w:sz="0" w:space="0" w:color="auto"/>
                  </w:divBdr>
                </w:div>
              </w:divsChild>
            </w:div>
            <w:div w:id="546994529">
              <w:marLeft w:val="0"/>
              <w:marRight w:val="0"/>
              <w:marTop w:val="0"/>
              <w:marBottom w:val="0"/>
              <w:divBdr>
                <w:top w:val="none" w:sz="0" w:space="0" w:color="auto"/>
                <w:left w:val="none" w:sz="0" w:space="0" w:color="auto"/>
                <w:bottom w:val="none" w:sz="0" w:space="0" w:color="auto"/>
                <w:right w:val="none" w:sz="0" w:space="0" w:color="auto"/>
              </w:divBdr>
              <w:divsChild>
                <w:div w:id="20210364">
                  <w:marLeft w:val="0"/>
                  <w:marRight w:val="0"/>
                  <w:marTop w:val="0"/>
                  <w:marBottom w:val="0"/>
                  <w:divBdr>
                    <w:top w:val="none" w:sz="0" w:space="0" w:color="auto"/>
                    <w:left w:val="none" w:sz="0" w:space="0" w:color="auto"/>
                    <w:bottom w:val="none" w:sz="0" w:space="0" w:color="auto"/>
                    <w:right w:val="none" w:sz="0" w:space="0" w:color="auto"/>
                  </w:divBdr>
                </w:div>
                <w:div w:id="1704473037">
                  <w:marLeft w:val="0"/>
                  <w:marRight w:val="0"/>
                  <w:marTop w:val="0"/>
                  <w:marBottom w:val="0"/>
                  <w:divBdr>
                    <w:top w:val="none" w:sz="0" w:space="0" w:color="auto"/>
                    <w:left w:val="none" w:sz="0" w:space="0" w:color="auto"/>
                    <w:bottom w:val="none" w:sz="0" w:space="0" w:color="auto"/>
                    <w:right w:val="none" w:sz="0" w:space="0" w:color="auto"/>
                  </w:divBdr>
                </w:div>
              </w:divsChild>
            </w:div>
            <w:div w:id="1407994555">
              <w:marLeft w:val="0"/>
              <w:marRight w:val="0"/>
              <w:marTop w:val="0"/>
              <w:marBottom w:val="0"/>
              <w:divBdr>
                <w:top w:val="none" w:sz="0" w:space="0" w:color="auto"/>
                <w:left w:val="none" w:sz="0" w:space="0" w:color="auto"/>
                <w:bottom w:val="none" w:sz="0" w:space="0" w:color="auto"/>
                <w:right w:val="none" w:sz="0" w:space="0" w:color="auto"/>
              </w:divBdr>
              <w:divsChild>
                <w:div w:id="544027118">
                  <w:marLeft w:val="0"/>
                  <w:marRight w:val="0"/>
                  <w:marTop w:val="0"/>
                  <w:marBottom w:val="0"/>
                  <w:divBdr>
                    <w:top w:val="none" w:sz="0" w:space="0" w:color="auto"/>
                    <w:left w:val="none" w:sz="0" w:space="0" w:color="auto"/>
                    <w:bottom w:val="none" w:sz="0" w:space="0" w:color="auto"/>
                    <w:right w:val="none" w:sz="0" w:space="0" w:color="auto"/>
                  </w:divBdr>
                </w:div>
                <w:div w:id="2118478267">
                  <w:marLeft w:val="0"/>
                  <w:marRight w:val="0"/>
                  <w:marTop w:val="0"/>
                  <w:marBottom w:val="0"/>
                  <w:divBdr>
                    <w:top w:val="none" w:sz="0" w:space="0" w:color="auto"/>
                    <w:left w:val="none" w:sz="0" w:space="0" w:color="auto"/>
                    <w:bottom w:val="none" w:sz="0" w:space="0" w:color="auto"/>
                    <w:right w:val="none" w:sz="0" w:space="0" w:color="auto"/>
                  </w:divBdr>
                </w:div>
              </w:divsChild>
            </w:div>
            <w:div w:id="1627928911">
              <w:marLeft w:val="0"/>
              <w:marRight w:val="0"/>
              <w:marTop w:val="0"/>
              <w:marBottom w:val="0"/>
              <w:divBdr>
                <w:top w:val="none" w:sz="0" w:space="0" w:color="auto"/>
                <w:left w:val="none" w:sz="0" w:space="0" w:color="auto"/>
                <w:bottom w:val="none" w:sz="0" w:space="0" w:color="auto"/>
                <w:right w:val="none" w:sz="0" w:space="0" w:color="auto"/>
              </w:divBdr>
              <w:divsChild>
                <w:div w:id="2087724792">
                  <w:marLeft w:val="0"/>
                  <w:marRight w:val="0"/>
                  <w:marTop w:val="0"/>
                  <w:marBottom w:val="0"/>
                  <w:divBdr>
                    <w:top w:val="none" w:sz="0" w:space="0" w:color="auto"/>
                    <w:left w:val="none" w:sz="0" w:space="0" w:color="auto"/>
                    <w:bottom w:val="none" w:sz="0" w:space="0" w:color="auto"/>
                    <w:right w:val="none" w:sz="0" w:space="0" w:color="auto"/>
                  </w:divBdr>
                </w:div>
                <w:div w:id="2071229357">
                  <w:marLeft w:val="0"/>
                  <w:marRight w:val="0"/>
                  <w:marTop w:val="0"/>
                  <w:marBottom w:val="0"/>
                  <w:divBdr>
                    <w:top w:val="none" w:sz="0" w:space="0" w:color="auto"/>
                    <w:left w:val="none" w:sz="0" w:space="0" w:color="auto"/>
                    <w:bottom w:val="none" w:sz="0" w:space="0" w:color="auto"/>
                    <w:right w:val="none" w:sz="0" w:space="0" w:color="auto"/>
                  </w:divBdr>
                </w:div>
              </w:divsChild>
            </w:div>
            <w:div w:id="256788757">
              <w:marLeft w:val="0"/>
              <w:marRight w:val="0"/>
              <w:marTop w:val="0"/>
              <w:marBottom w:val="0"/>
              <w:divBdr>
                <w:top w:val="none" w:sz="0" w:space="0" w:color="auto"/>
                <w:left w:val="none" w:sz="0" w:space="0" w:color="auto"/>
                <w:bottom w:val="none" w:sz="0" w:space="0" w:color="auto"/>
                <w:right w:val="none" w:sz="0" w:space="0" w:color="auto"/>
              </w:divBdr>
              <w:divsChild>
                <w:div w:id="301036674">
                  <w:marLeft w:val="0"/>
                  <w:marRight w:val="0"/>
                  <w:marTop w:val="0"/>
                  <w:marBottom w:val="0"/>
                  <w:divBdr>
                    <w:top w:val="none" w:sz="0" w:space="0" w:color="auto"/>
                    <w:left w:val="none" w:sz="0" w:space="0" w:color="auto"/>
                    <w:bottom w:val="none" w:sz="0" w:space="0" w:color="auto"/>
                    <w:right w:val="none" w:sz="0" w:space="0" w:color="auto"/>
                  </w:divBdr>
                </w:div>
                <w:div w:id="1263605826">
                  <w:marLeft w:val="0"/>
                  <w:marRight w:val="0"/>
                  <w:marTop w:val="0"/>
                  <w:marBottom w:val="0"/>
                  <w:divBdr>
                    <w:top w:val="none" w:sz="0" w:space="0" w:color="auto"/>
                    <w:left w:val="none" w:sz="0" w:space="0" w:color="auto"/>
                    <w:bottom w:val="none" w:sz="0" w:space="0" w:color="auto"/>
                    <w:right w:val="none" w:sz="0" w:space="0" w:color="auto"/>
                  </w:divBdr>
                </w:div>
                <w:div w:id="595870445">
                  <w:marLeft w:val="0"/>
                  <w:marRight w:val="0"/>
                  <w:marTop w:val="0"/>
                  <w:marBottom w:val="0"/>
                  <w:divBdr>
                    <w:top w:val="none" w:sz="0" w:space="0" w:color="auto"/>
                    <w:left w:val="none" w:sz="0" w:space="0" w:color="auto"/>
                    <w:bottom w:val="none" w:sz="0" w:space="0" w:color="auto"/>
                    <w:right w:val="none" w:sz="0" w:space="0" w:color="auto"/>
                  </w:divBdr>
                </w:div>
              </w:divsChild>
            </w:div>
            <w:div w:id="799148762">
              <w:marLeft w:val="0"/>
              <w:marRight w:val="0"/>
              <w:marTop w:val="0"/>
              <w:marBottom w:val="0"/>
              <w:divBdr>
                <w:top w:val="none" w:sz="0" w:space="0" w:color="auto"/>
                <w:left w:val="none" w:sz="0" w:space="0" w:color="auto"/>
                <w:bottom w:val="none" w:sz="0" w:space="0" w:color="auto"/>
                <w:right w:val="none" w:sz="0" w:space="0" w:color="auto"/>
              </w:divBdr>
              <w:divsChild>
                <w:div w:id="1178545221">
                  <w:marLeft w:val="0"/>
                  <w:marRight w:val="0"/>
                  <w:marTop w:val="0"/>
                  <w:marBottom w:val="0"/>
                  <w:divBdr>
                    <w:top w:val="none" w:sz="0" w:space="0" w:color="auto"/>
                    <w:left w:val="none" w:sz="0" w:space="0" w:color="auto"/>
                    <w:bottom w:val="none" w:sz="0" w:space="0" w:color="auto"/>
                    <w:right w:val="none" w:sz="0" w:space="0" w:color="auto"/>
                  </w:divBdr>
                </w:div>
                <w:div w:id="1978753614">
                  <w:marLeft w:val="0"/>
                  <w:marRight w:val="0"/>
                  <w:marTop w:val="0"/>
                  <w:marBottom w:val="0"/>
                  <w:divBdr>
                    <w:top w:val="none" w:sz="0" w:space="0" w:color="auto"/>
                    <w:left w:val="none" w:sz="0" w:space="0" w:color="auto"/>
                    <w:bottom w:val="none" w:sz="0" w:space="0" w:color="auto"/>
                    <w:right w:val="none" w:sz="0" w:space="0" w:color="auto"/>
                  </w:divBdr>
                </w:div>
                <w:div w:id="2014919428">
                  <w:marLeft w:val="0"/>
                  <w:marRight w:val="0"/>
                  <w:marTop w:val="0"/>
                  <w:marBottom w:val="0"/>
                  <w:divBdr>
                    <w:top w:val="none" w:sz="0" w:space="0" w:color="auto"/>
                    <w:left w:val="none" w:sz="0" w:space="0" w:color="auto"/>
                    <w:bottom w:val="none" w:sz="0" w:space="0" w:color="auto"/>
                    <w:right w:val="none" w:sz="0" w:space="0" w:color="auto"/>
                  </w:divBdr>
                </w:div>
              </w:divsChild>
            </w:div>
            <w:div w:id="1752383094">
              <w:marLeft w:val="0"/>
              <w:marRight w:val="0"/>
              <w:marTop w:val="0"/>
              <w:marBottom w:val="0"/>
              <w:divBdr>
                <w:top w:val="none" w:sz="0" w:space="0" w:color="auto"/>
                <w:left w:val="none" w:sz="0" w:space="0" w:color="auto"/>
                <w:bottom w:val="none" w:sz="0" w:space="0" w:color="auto"/>
                <w:right w:val="none" w:sz="0" w:space="0" w:color="auto"/>
              </w:divBdr>
              <w:divsChild>
                <w:div w:id="1369180879">
                  <w:marLeft w:val="0"/>
                  <w:marRight w:val="0"/>
                  <w:marTop w:val="0"/>
                  <w:marBottom w:val="0"/>
                  <w:divBdr>
                    <w:top w:val="none" w:sz="0" w:space="0" w:color="auto"/>
                    <w:left w:val="none" w:sz="0" w:space="0" w:color="auto"/>
                    <w:bottom w:val="none" w:sz="0" w:space="0" w:color="auto"/>
                    <w:right w:val="none" w:sz="0" w:space="0" w:color="auto"/>
                  </w:divBdr>
                </w:div>
                <w:div w:id="1093550887">
                  <w:marLeft w:val="0"/>
                  <w:marRight w:val="0"/>
                  <w:marTop w:val="0"/>
                  <w:marBottom w:val="0"/>
                  <w:divBdr>
                    <w:top w:val="none" w:sz="0" w:space="0" w:color="auto"/>
                    <w:left w:val="none" w:sz="0" w:space="0" w:color="auto"/>
                    <w:bottom w:val="none" w:sz="0" w:space="0" w:color="auto"/>
                    <w:right w:val="none" w:sz="0" w:space="0" w:color="auto"/>
                  </w:divBdr>
                </w:div>
                <w:div w:id="1443572265">
                  <w:marLeft w:val="0"/>
                  <w:marRight w:val="0"/>
                  <w:marTop w:val="0"/>
                  <w:marBottom w:val="0"/>
                  <w:divBdr>
                    <w:top w:val="none" w:sz="0" w:space="0" w:color="auto"/>
                    <w:left w:val="none" w:sz="0" w:space="0" w:color="auto"/>
                    <w:bottom w:val="none" w:sz="0" w:space="0" w:color="auto"/>
                    <w:right w:val="none" w:sz="0" w:space="0" w:color="auto"/>
                  </w:divBdr>
                </w:div>
              </w:divsChild>
            </w:div>
            <w:div w:id="1546286014">
              <w:marLeft w:val="0"/>
              <w:marRight w:val="0"/>
              <w:marTop w:val="0"/>
              <w:marBottom w:val="0"/>
              <w:divBdr>
                <w:top w:val="none" w:sz="0" w:space="0" w:color="auto"/>
                <w:left w:val="none" w:sz="0" w:space="0" w:color="auto"/>
                <w:bottom w:val="none" w:sz="0" w:space="0" w:color="auto"/>
                <w:right w:val="none" w:sz="0" w:space="0" w:color="auto"/>
              </w:divBdr>
              <w:divsChild>
                <w:div w:id="1186990562">
                  <w:marLeft w:val="0"/>
                  <w:marRight w:val="0"/>
                  <w:marTop w:val="0"/>
                  <w:marBottom w:val="0"/>
                  <w:divBdr>
                    <w:top w:val="none" w:sz="0" w:space="0" w:color="auto"/>
                    <w:left w:val="none" w:sz="0" w:space="0" w:color="auto"/>
                    <w:bottom w:val="none" w:sz="0" w:space="0" w:color="auto"/>
                    <w:right w:val="none" w:sz="0" w:space="0" w:color="auto"/>
                  </w:divBdr>
                </w:div>
                <w:div w:id="795414395">
                  <w:marLeft w:val="0"/>
                  <w:marRight w:val="0"/>
                  <w:marTop w:val="0"/>
                  <w:marBottom w:val="0"/>
                  <w:divBdr>
                    <w:top w:val="none" w:sz="0" w:space="0" w:color="auto"/>
                    <w:left w:val="none" w:sz="0" w:space="0" w:color="auto"/>
                    <w:bottom w:val="none" w:sz="0" w:space="0" w:color="auto"/>
                    <w:right w:val="none" w:sz="0" w:space="0" w:color="auto"/>
                  </w:divBdr>
                </w:div>
                <w:div w:id="1669017762">
                  <w:marLeft w:val="0"/>
                  <w:marRight w:val="0"/>
                  <w:marTop w:val="0"/>
                  <w:marBottom w:val="0"/>
                  <w:divBdr>
                    <w:top w:val="none" w:sz="0" w:space="0" w:color="auto"/>
                    <w:left w:val="none" w:sz="0" w:space="0" w:color="auto"/>
                    <w:bottom w:val="none" w:sz="0" w:space="0" w:color="auto"/>
                    <w:right w:val="none" w:sz="0" w:space="0" w:color="auto"/>
                  </w:divBdr>
                </w:div>
              </w:divsChild>
            </w:div>
            <w:div w:id="509223606">
              <w:marLeft w:val="0"/>
              <w:marRight w:val="0"/>
              <w:marTop w:val="0"/>
              <w:marBottom w:val="0"/>
              <w:divBdr>
                <w:top w:val="none" w:sz="0" w:space="0" w:color="auto"/>
                <w:left w:val="none" w:sz="0" w:space="0" w:color="auto"/>
                <w:bottom w:val="none" w:sz="0" w:space="0" w:color="auto"/>
                <w:right w:val="none" w:sz="0" w:space="0" w:color="auto"/>
              </w:divBdr>
              <w:divsChild>
                <w:div w:id="1475760173">
                  <w:marLeft w:val="0"/>
                  <w:marRight w:val="0"/>
                  <w:marTop w:val="0"/>
                  <w:marBottom w:val="0"/>
                  <w:divBdr>
                    <w:top w:val="none" w:sz="0" w:space="0" w:color="auto"/>
                    <w:left w:val="none" w:sz="0" w:space="0" w:color="auto"/>
                    <w:bottom w:val="none" w:sz="0" w:space="0" w:color="auto"/>
                    <w:right w:val="none" w:sz="0" w:space="0" w:color="auto"/>
                  </w:divBdr>
                </w:div>
                <w:div w:id="1444955025">
                  <w:marLeft w:val="0"/>
                  <w:marRight w:val="0"/>
                  <w:marTop w:val="0"/>
                  <w:marBottom w:val="0"/>
                  <w:divBdr>
                    <w:top w:val="none" w:sz="0" w:space="0" w:color="auto"/>
                    <w:left w:val="none" w:sz="0" w:space="0" w:color="auto"/>
                    <w:bottom w:val="none" w:sz="0" w:space="0" w:color="auto"/>
                    <w:right w:val="none" w:sz="0" w:space="0" w:color="auto"/>
                  </w:divBdr>
                </w:div>
              </w:divsChild>
            </w:div>
            <w:div w:id="643117805">
              <w:marLeft w:val="0"/>
              <w:marRight w:val="0"/>
              <w:marTop w:val="0"/>
              <w:marBottom w:val="0"/>
              <w:divBdr>
                <w:top w:val="none" w:sz="0" w:space="0" w:color="auto"/>
                <w:left w:val="none" w:sz="0" w:space="0" w:color="auto"/>
                <w:bottom w:val="none" w:sz="0" w:space="0" w:color="auto"/>
                <w:right w:val="none" w:sz="0" w:space="0" w:color="auto"/>
              </w:divBdr>
              <w:divsChild>
                <w:div w:id="743335569">
                  <w:marLeft w:val="0"/>
                  <w:marRight w:val="0"/>
                  <w:marTop w:val="0"/>
                  <w:marBottom w:val="0"/>
                  <w:divBdr>
                    <w:top w:val="none" w:sz="0" w:space="0" w:color="auto"/>
                    <w:left w:val="none" w:sz="0" w:space="0" w:color="auto"/>
                    <w:bottom w:val="none" w:sz="0" w:space="0" w:color="auto"/>
                    <w:right w:val="none" w:sz="0" w:space="0" w:color="auto"/>
                  </w:divBdr>
                </w:div>
                <w:div w:id="1912618166">
                  <w:marLeft w:val="0"/>
                  <w:marRight w:val="0"/>
                  <w:marTop w:val="0"/>
                  <w:marBottom w:val="0"/>
                  <w:divBdr>
                    <w:top w:val="none" w:sz="0" w:space="0" w:color="auto"/>
                    <w:left w:val="none" w:sz="0" w:space="0" w:color="auto"/>
                    <w:bottom w:val="none" w:sz="0" w:space="0" w:color="auto"/>
                    <w:right w:val="none" w:sz="0" w:space="0" w:color="auto"/>
                  </w:divBdr>
                </w:div>
              </w:divsChild>
            </w:div>
            <w:div w:id="295837492">
              <w:marLeft w:val="0"/>
              <w:marRight w:val="0"/>
              <w:marTop w:val="0"/>
              <w:marBottom w:val="0"/>
              <w:divBdr>
                <w:top w:val="none" w:sz="0" w:space="0" w:color="auto"/>
                <w:left w:val="none" w:sz="0" w:space="0" w:color="auto"/>
                <w:bottom w:val="none" w:sz="0" w:space="0" w:color="auto"/>
                <w:right w:val="none" w:sz="0" w:space="0" w:color="auto"/>
              </w:divBdr>
              <w:divsChild>
                <w:div w:id="918323053">
                  <w:marLeft w:val="0"/>
                  <w:marRight w:val="0"/>
                  <w:marTop w:val="0"/>
                  <w:marBottom w:val="0"/>
                  <w:divBdr>
                    <w:top w:val="none" w:sz="0" w:space="0" w:color="auto"/>
                    <w:left w:val="none" w:sz="0" w:space="0" w:color="auto"/>
                    <w:bottom w:val="none" w:sz="0" w:space="0" w:color="auto"/>
                    <w:right w:val="none" w:sz="0" w:space="0" w:color="auto"/>
                  </w:divBdr>
                </w:div>
                <w:div w:id="671680723">
                  <w:marLeft w:val="0"/>
                  <w:marRight w:val="0"/>
                  <w:marTop w:val="0"/>
                  <w:marBottom w:val="0"/>
                  <w:divBdr>
                    <w:top w:val="none" w:sz="0" w:space="0" w:color="auto"/>
                    <w:left w:val="none" w:sz="0" w:space="0" w:color="auto"/>
                    <w:bottom w:val="none" w:sz="0" w:space="0" w:color="auto"/>
                    <w:right w:val="none" w:sz="0" w:space="0" w:color="auto"/>
                  </w:divBdr>
                </w:div>
              </w:divsChild>
            </w:div>
            <w:div w:id="382680607">
              <w:marLeft w:val="0"/>
              <w:marRight w:val="0"/>
              <w:marTop w:val="0"/>
              <w:marBottom w:val="0"/>
              <w:divBdr>
                <w:top w:val="none" w:sz="0" w:space="0" w:color="auto"/>
                <w:left w:val="none" w:sz="0" w:space="0" w:color="auto"/>
                <w:bottom w:val="none" w:sz="0" w:space="0" w:color="auto"/>
                <w:right w:val="none" w:sz="0" w:space="0" w:color="auto"/>
              </w:divBdr>
              <w:divsChild>
                <w:div w:id="203687312">
                  <w:marLeft w:val="0"/>
                  <w:marRight w:val="0"/>
                  <w:marTop w:val="0"/>
                  <w:marBottom w:val="0"/>
                  <w:divBdr>
                    <w:top w:val="none" w:sz="0" w:space="0" w:color="auto"/>
                    <w:left w:val="none" w:sz="0" w:space="0" w:color="auto"/>
                    <w:bottom w:val="none" w:sz="0" w:space="0" w:color="auto"/>
                    <w:right w:val="none" w:sz="0" w:space="0" w:color="auto"/>
                  </w:divBdr>
                </w:div>
                <w:div w:id="2080905785">
                  <w:marLeft w:val="0"/>
                  <w:marRight w:val="0"/>
                  <w:marTop w:val="0"/>
                  <w:marBottom w:val="0"/>
                  <w:divBdr>
                    <w:top w:val="none" w:sz="0" w:space="0" w:color="auto"/>
                    <w:left w:val="none" w:sz="0" w:space="0" w:color="auto"/>
                    <w:bottom w:val="none" w:sz="0" w:space="0" w:color="auto"/>
                    <w:right w:val="none" w:sz="0" w:space="0" w:color="auto"/>
                  </w:divBdr>
                </w:div>
              </w:divsChild>
            </w:div>
            <w:div w:id="1283808683">
              <w:marLeft w:val="0"/>
              <w:marRight w:val="0"/>
              <w:marTop w:val="0"/>
              <w:marBottom w:val="0"/>
              <w:divBdr>
                <w:top w:val="none" w:sz="0" w:space="0" w:color="auto"/>
                <w:left w:val="none" w:sz="0" w:space="0" w:color="auto"/>
                <w:bottom w:val="none" w:sz="0" w:space="0" w:color="auto"/>
                <w:right w:val="none" w:sz="0" w:space="0" w:color="auto"/>
              </w:divBdr>
              <w:divsChild>
                <w:div w:id="1402171298">
                  <w:marLeft w:val="0"/>
                  <w:marRight w:val="0"/>
                  <w:marTop w:val="0"/>
                  <w:marBottom w:val="0"/>
                  <w:divBdr>
                    <w:top w:val="none" w:sz="0" w:space="0" w:color="auto"/>
                    <w:left w:val="none" w:sz="0" w:space="0" w:color="auto"/>
                    <w:bottom w:val="none" w:sz="0" w:space="0" w:color="auto"/>
                    <w:right w:val="none" w:sz="0" w:space="0" w:color="auto"/>
                  </w:divBdr>
                </w:div>
                <w:div w:id="130006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358269">
          <w:marLeft w:val="0"/>
          <w:marRight w:val="0"/>
          <w:marTop w:val="0"/>
          <w:marBottom w:val="0"/>
          <w:divBdr>
            <w:top w:val="none" w:sz="0" w:space="0" w:color="auto"/>
            <w:left w:val="none" w:sz="0" w:space="0" w:color="auto"/>
            <w:bottom w:val="none" w:sz="0" w:space="0" w:color="auto"/>
            <w:right w:val="none" w:sz="0" w:space="0" w:color="auto"/>
          </w:divBdr>
        </w:div>
        <w:div w:id="195670980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5AIRPNAIUNRU-1379959237-1286</_dlc_DocId>
    <_dlc_DocIdUrl xmlns="71c5aaf6-e6ce-465b-b873-5148d2a4c105">
      <Url>https://nokia.sharepoint.com/sites/c5g/projects/phydesign/_layouts/15/DocIdRedir.aspx?ID=5AIRPNAIUNRU-1379959237-1286</Url>
      <Description>5AIRPNAIUNRU-1379959237-1286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fbc5cd6646613297a4ab19aeefcde352">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57e767b3ab171216652c06f544a92317"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3.xml><?xml version="1.0" encoding="utf-8"?>
<ds:datastoreItem xmlns:ds="http://schemas.openxmlformats.org/officeDocument/2006/customXml" ds:itemID="{AE2D510B-07BC-48D5-B9B0-E1A3DA567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C7646B1-6709-4E0D-A2EF-F9800AE404D5}">
  <ds:schemaRefs>
    <ds:schemaRef ds:uri="http://schemas.microsoft.com/sharepoint/events"/>
  </ds:schemaRefs>
</ds:datastoreItem>
</file>

<file path=customXml/itemProps6.xml><?xml version="1.0" encoding="utf-8"?>
<ds:datastoreItem xmlns:ds="http://schemas.openxmlformats.org/officeDocument/2006/customXml" ds:itemID="{27ED8E97-CF01-4DAC-8336-464C847ECE97}">
  <ds:schemaRefs>
    <ds:schemaRef ds:uri="Microsoft.SharePoint.Taxonomy.ContentTypeSync"/>
  </ds:schemaRefs>
</ds:datastoreItem>
</file>

<file path=customXml/itemProps7.xml><?xml version="1.0" encoding="utf-8"?>
<ds:datastoreItem xmlns:ds="http://schemas.openxmlformats.org/officeDocument/2006/customXml" ds:itemID="{426E0ED0-AAB8-4691-A901-B6C7DE319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1507</Words>
  <Characters>12207</Characters>
  <Application>Microsoft Office Word</Application>
  <DocSecurity>0</DocSecurity>
  <Lines>101</Lines>
  <Paragraphs>27</Paragraphs>
  <ScaleCrop>false</ScaleCrop>
  <Company>Microsoft</Company>
  <LinksUpToDate>false</LinksUpToDate>
  <CharactersWithSpaces>13687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TL</cp:lastModifiedBy>
  <cp:revision>81</cp:revision>
  <cp:lastPrinted>2019-04-25T01:09:00Z</cp:lastPrinted>
  <dcterms:created xsi:type="dcterms:W3CDTF">2020-10-12T10:07:00Z</dcterms:created>
  <dcterms:modified xsi:type="dcterms:W3CDTF">2021-01-15T15:14:00Z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0x010100CAC6E578C47D6A4BA19BDCC53867E4A5</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_dlc_DocIdItemGuid">
    <vt:lpwstr>0b7b779b-cb81-46d0-832c-9abe88671171</vt:lpwstr>
  </property>
</Properties>
</file>